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A3E66" w14:textId="522B20DC"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2223E7" w:rsidRPr="002223E7">
        <w:rPr>
          <w:rFonts w:ascii="Arial" w:hAnsi="Arial" w:cs="Arial"/>
          <w:b/>
          <w:sz w:val="24"/>
          <w:lang w:val="en-US"/>
        </w:rPr>
        <w:t>R4-1909728</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0078903F" w14:textId="77777777" w:rsidR="00816C9D" w:rsidRPr="0008103A" w:rsidRDefault="00816C9D" w:rsidP="00816C9D">
      <w:pPr>
        <w:rPr>
          <w:rFonts w:ascii="Arial" w:hAnsi="Arial" w:cs="Arial"/>
          <w:b/>
          <w:sz w:val="24"/>
          <w:szCs w:val="24"/>
        </w:rPr>
      </w:pPr>
    </w:p>
    <w:p w14:paraId="2C42756A" w14:textId="5CB6704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65A8F" w:rsidRPr="002223E7">
        <w:rPr>
          <w:rFonts w:ascii="Arial" w:hAnsi="Arial" w:cs="Arial"/>
          <w:sz w:val="24"/>
          <w:szCs w:val="24"/>
        </w:rPr>
        <w:t>11.2.3.1</w:t>
      </w:r>
    </w:p>
    <w:p w14:paraId="0C9F23A7"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502768DD" w14:textId="75258863"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6677A" w:rsidRPr="002223E7">
        <w:rPr>
          <w:rFonts w:ascii="Arial" w:hAnsi="Arial" w:cs="Arial"/>
          <w:sz w:val="24"/>
          <w:szCs w:val="24"/>
        </w:rPr>
        <w:t>S</w:t>
      </w:r>
      <w:r w:rsidR="005B0682" w:rsidRPr="002223E7">
        <w:rPr>
          <w:rFonts w:ascii="Arial" w:hAnsi="Arial" w:cs="Arial"/>
          <w:sz w:val="24"/>
          <w:szCs w:val="24"/>
        </w:rPr>
        <w:t xml:space="preserve">ystem implementation of </w:t>
      </w:r>
      <w:r w:rsidR="0096677A" w:rsidRPr="002223E7">
        <w:rPr>
          <w:rFonts w:ascii="Arial" w:hAnsi="Arial" w:cs="Arial"/>
          <w:sz w:val="24"/>
          <w:szCs w:val="24"/>
        </w:rPr>
        <w:t xml:space="preserve">FR1 </w:t>
      </w:r>
      <w:r w:rsidR="005B0682" w:rsidRPr="002223E7">
        <w:rPr>
          <w:rFonts w:ascii="Arial" w:hAnsi="Arial" w:cs="Arial"/>
          <w:sz w:val="24"/>
          <w:szCs w:val="24"/>
        </w:rPr>
        <w:t xml:space="preserve">2D MPAC </w:t>
      </w:r>
    </w:p>
    <w:p w14:paraId="12EEC868"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6D8AFEF7" w14:textId="77777777" w:rsidR="00816C9D" w:rsidRDefault="00816C9D" w:rsidP="001E1CF6">
      <w:pPr>
        <w:pStyle w:val="Heading1"/>
        <w:ind w:left="567" w:hanging="567"/>
      </w:pPr>
      <w:r w:rsidRPr="00647B25">
        <w:t>Introduction</w:t>
      </w:r>
    </w:p>
    <w:p w14:paraId="08644AFC" w14:textId="1404A67B" w:rsidR="00B35E66" w:rsidRDefault="00E93FE0" w:rsidP="000606FD">
      <w:pPr>
        <w:ind w:left="48"/>
      </w:pPr>
      <w:r w:rsidRPr="00C5364A">
        <w:t>The number of probes and the probe configuration in a two-dimensional multi-probe anechoic</w:t>
      </w:r>
      <w:r w:rsidR="001B4683">
        <w:t xml:space="preserve"> chamber</w:t>
      </w:r>
      <w:r w:rsidRPr="00C5364A">
        <w:t xml:space="preserve"> (</w:t>
      </w:r>
      <w:r w:rsidR="001B4683">
        <w:t xml:space="preserve">2D </w:t>
      </w:r>
      <w:r w:rsidRPr="00C5364A">
        <w:t>MPAC) setup at FR1 are studied in this contribution. The study is performed by evaluating the spatial correlation error in various simulated probe configurations</w:t>
      </w:r>
      <w:r w:rsidR="00564B22">
        <w:t xml:space="preserve"> covering a sector</w:t>
      </w:r>
      <w:r w:rsidR="00B7415D">
        <w:t xml:space="preserve"> of</w:t>
      </w:r>
      <w:r w:rsidR="00564B22">
        <w:t xml:space="preserve"> angles</w:t>
      </w:r>
      <w:r w:rsidRPr="00C5364A">
        <w:t xml:space="preserve">. The purpose is to determine </w:t>
      </w:r>
      <w:r w:rsidR="009358AA">
        <w:t xml:space="preserve">the minimum number of </w:t>
      </w:r>
      <w:r w:rsidRPr="00C5364A">
        <w:t xml:space="preserve">probes for </w:t>
      </w:r>
      <w:r w:rsidR="00B321B2">
        <w:t xml:space="preserve">NR FR1 2D </w:t>
      </w:r>
      <w:r w:rsidRPr="00C5364A">
        <w:t>MPAC setups</w:t>
      </w:r>
      <w:r w:rsidR="00564B22">
        <w:t>.</w:t>
      </w:r>
    </w:p>
    <w:p w14:paraId="0A9D65C4" w14:textId="74AADD8B" w:rsidR="00262604" w:rsidRDefault="00262604" w:rsidP="000606FD">
      <w:pPr>
        <w:ind w:left="48"/>
        <w:rPr>
          <w:lang w:val="en-US"/>
        </w:rPr>
      </w:pPr>
      <w:r w:rsidRPr="00262604">
        <w:rPr>
          <w:lang w:val="en-US"/>
        </w:rPr>
        <w:t>This contribution is a c</w:t>
      </w:r>
      <w:r>
        <w:rPr>
          <w:lang w:val="en-US"/>
        </w:rPr>
        <w:t>ontinuation of</w:t>
      </w:r>
      <w:r w:rsidR="008D3F9F">
        <w:rPr>
          <w:lang w:val="en-US"/>
        </w:rPr>
        <w:t xml:space="preserve">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sidR="00B321B2">
        <w:rPr>
          <w:lang w:val="en-US"/>
        </w:rPr>
        <w:t xml:space="preserve"> with </w:t>
      </w:r>
      <w:r w:rsidRPr="00262604">
        <w:rPr>
          <w:lang w:val="en-US"/>
        </w:rPr>
        <w:t>focus o</w:t>
      </w:r>
      <w:r>
        <w:rPr>
          <w:lang w:val="en-US"/>
        </w:rPr>
        <w:t xml:space="preserve">n </w:t>
      </w:r>
      <w:r w:rsidR="00B321B2">
        <w:rPr>
          <w:lang w:val="en-US"/>
        </w:rPr>
        <w:t xml:space="preserve">the </w:t>
      </w:r>
      <w:r>
        <w:rPr>
          <w:lang w:val="en-US"/>
        </w:rPr>
        <w:t>2D sector configuration of probes</w:t>
      </w:r>
      <w:r w:rsidR="007C39B0">
        <w:rPr>
          <w:lang w:val="en-US"/>
        </w:rPr>
        <w:t xml:space="preserve"> instead the uniformly distributed probes that unnecessarily increases the number </w:t>
      </w:r>
      <w:r w:rsidR="002C3709">
        <w:rPr>
          <w:lang w:val="en-US"/>
        </w:rPr>
        <w:t>of probes</w:t>
      </w:r>
      <w:r>
        <w:rPr>
          <w:lang w:val="en-US"/>
        </w:rPr>
        <w:t xml:space="preserve">. </w:t>
      </w:r>
      <w:r w:rsidR="002C3709">
        <w:rPr>
          <w:lang w:val="en-US"/>
        </w:rPr>
        <w:t>In the sector configuration, d</w:t>
      </w:r>
      <w:r w:rsidRPr="00CF4680">
        <w:rPr>
          <w:lang w:val="en-US"/>
        </w:rPr>
        <w:t>ifferent number of probes</w:t>
      </w:r>
      <w:r w:rsidR="00CF4680">
        <w:rPr>
          <w:lang w:val="en-US"/>
        </w:rPr>
        <w:t xml:space="preserve"> are</w:t>
      </w:r>
      <w:r w:rsidRPr="00CF4680">
        <w:rPr>
          <w:lang w:val="en-US"/>
        </w:rPr>
        <w:t xml:space="preserve"> placed on a</w:t>
      </w:r>
      <w:r w:rsidR="00CF4680" w:rsidRPr="00CF4680">
        <w:rPr>
          <w:lang w:val="en-US"/>
        </w:rPr>
        <w:t xml:space="preserve"> segment of a</w:t>
      </w:r>
      <w:r w:rsidR="00CF4680">
        <w:rPr>
          <w:lang w:val="en-US"/>
        </w:rPr>
        <w:t xml:space="preserve">rc covering a sector of angles and the capability of the configuration to reconstruct the target channel model is evaluated. </w:t>
      </w:r>
      <w:r w:rsidR="00CF4680" w:rsidRPr="00CF4680">
        <w:rPr>
          <w:lang w:val="en-US"/>
        </w:rPr>
        <w:t>The evaluation method is analytical and does not consid</w:t>
      </w:r>
      <w:r w:rsidR="00CF4680">
        <w:rPr>
          <w:lang w:val="en-US"/>
        </w:rPr>
        <w:t>er other non-idealities such as, e.g., limited range length</w:t>
      </w:r>
      <w:r w:rsidR="000F2A8C">
        <w:rPr>
          <w:lang w:val="en-US"/>
        </w:rPr>
        <w:t xml:space="preserve">, which </w:t>
      </w:r>
      <w:r w:rsidR="00986D7D">
        <w:rPr>
          <w:lang w:val="en-US"/>
        </w:rPr>
        <w:t>requires a separate investigation</w:t>
      </w:r>
      <w:r w:rsidR="00CF4680">
        <w:rPr>
          <w:lang w:val="en-US"/>
        </w:rPr>
        <w:t>.</w:t>
      </w:r>
      <w:r w:rsidR="005B2830">
        <w:rPr>
          <w:lang w:val="en-US"/>
        </w:rPr>
        <w:t xml:space="preserve"> In the 2D sector evaluations of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sidR="005B2830">
        <w:rPr>
          <w:lang w:val="en-US"/>
        </w:rPr>
        <w:t xml:space="preserve"> the angular sector for probes was determined to contain 90% of total power. </w:t>
      </w:r>
      <w:r w:rsidR="00F0437F">
        <w:rPr>
          <w:lang w:val="en-US"/>
        </w:rPr>
        <w:t xml:space="preserve">In this contribution, </w:t>
      </w:r>
      <w:r w:rsidR="005B2830">
        <w:rPr>
          <w:lang w:val="en-US"/>
        </w:rPr>
        <w:t>different percentages are evaluated together with the “non-simplified” case where the sector is chosen to contain 100% of power.</w:t>
      </w:r>
    </w:p>
    <w:p w14:paraId="5355B6DE" w14:textId="1CF55C77" w:rsidR="009B3274" w:rsidRDefault="005B2830" w:rsidP="000606FD">
      <w:pPr>
        <w:ind w:left="48"/>
        <w:rPr>
          <w:lang w:eastAsia="ja-JP"/>
        </w:rPr>
      </w:pPr>
      <w:r>
        <w:rPr>
          <w:lang w:val="en-US"/>
        </w:rPr>
        <w:t xml:space="preserve">It is important not to confuse probe configuration simplifications with channel model simplifications. In this contribution, as well as in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Pr>
          <w:lang w:val="en-US"/>
        </w:rPr>
        <w:t xml:space="preserve">, the CDL channel models </w:t>
      </w:r>
      <w:r w:rsidR="00AC5D4F">
        <w:rPr>
          <w:lang w:val="en-US"/>
        </w:rPr>
        <w:t>have not been simplified</w:t>
      </w:r>
      <w:r>
        <w:rPr>
          <w:lang w:val="en-US"/>
        </w:rPr>
        <w:t xml:space="preserve">. </w:t>
      </w:r>
      <w:r w:rsidR="00986D7D">
        <w:rPr>
          <w:lang w:val="en-US"/>
        </w:rPr>
        <w:t>i</w:t>
      </w:r>
      <w:r>
        <w:rPr>
          <w:lang w:val="en-US"/>
        </w:rPr>
        <w:t>.e.</w:t>
      </w:r>
      <w:r w:rsidR="00986D7D">
        <w:rPr>
          <w:lang w:val="en-US"/>
        </w:rPr>
        <w:t>,</w:t>
      </w:r>
      <w:r>
        <w:rPr>
          <w:lang w:val="en-US"/>
        </w:rPr>
        <w:t xml:space="preserve"> reference channel models are as specified in </w:t>
      </w:r>
      <w:r w:rsidR="008D3F9F">
        <w:rPr>
          <w:lang w:val="en-US"/>
        </w:rPr>
        <w:fldChar w:fldCharType="begin"/>
      </w:r>
      <w:r w:rsidR="008D3F9F">
        <w:rPr>
          <w:lang w:val="en-US"/>
        </w:rPr>
        <w:instrText xml:space="preserve"> REF _Ref16672877 \n \h </w:instrText>
      </w:r>
      <w:r w:rsidR="008D3F9F">
        <w:rPr>
          <w:lang w:val="en-US"/>
        </w:rPr>
      </w:r>
      <w:r w:rsidR="008D3F9F">
        <w:rPr>
          <w:lang w:val="en-US"/>
        </w:rPr>
        <w:fldChar w:fldCharType="separate"/>
      </w:r>
      <w:r w:rsidR="008D3F9F">
        <w:rPr>
          <w:lang w:val="en-US"/>
        </w:rPr>
        <w:t>[2]</w:t>
      </w:r>
      <w:r w:rsidR="008D3F9F">
        <w:rPr>
          <w:lang w:val="en-US"/>
        </w:rPr>
        <w:fldChar w:fldCharType="end"/>
      </w:r>
      <w:r w:rsidRPr="00C5364A">
        <w:rPr>
          <w:lang w:eastAsia="ja-JP"/>
        </w:rPr>
        <w:t xml:space="preserve">. </w:t>
      </w:r>
      <w:r w:rsidR="009B3274">
        <w:rPr>
          <w:lang w:eastAsia="ja-JP"/>
        </w:rPr>
        <w:t xml:space="preserve">Different probe configurations are not </w:t>
      </w:r>
      <w:r w:rsidR="009B3274" w:rsidRPr="009B3274">
        <w:rPr>
          <w:i/>
          <w:lang w:eastAsia="ja-JP"/>
        </w:rPr>
        <w:t>channel model simplifications</w:t>
      </w:r>
      <w:r w:rsidR="009B3274">
        <w:rPr>
          <w:lang w:eastAsia="ja-JP"/>
        </w:rPr>
        <w:t xml:space="preserve">. </w:t>
      </w:r>
      <w:r w:rsidR="009B3274">
        <w:rPr>
          <w:rFonts w:eastAsia="Batang"/>
          <w:lang w:val="en-US"/>
        </w:rPr>
        <w:t>Probe configurations are just different implementations of a MPAC setup for reconstructing t</w:t>
      </w:r>
      <w:r w:rsidR="009B3274" w:rsidRPr="006F050D">
        <w:t>he target channel model</w:t>
      </w:r>
      <w:r w:rsidR="00D0057D">
        <w:t>.</w:t>
      </w:r>
    </w:p>
    <w:p w14:paraId="1A553200" w14:textId="5DE8256D" w:rsidR="00564B22" w:rsidRPr="00AF2C3F" w:rsidRDefault="003D0C73" w:rsidP="00564B22">
      <w:pPr>
        <w:pStyle w:val="Heading1"/>
        <w:ind w:left="567" w:hanging="567"/>
        <w:rPr>
          <w:lang w:val="en-US"/>
        </w:rPr>
      </w:pPr>
      <w:r>
        <w:rPr>
          <w:lang w:val="en-US"/>
        </w:rPr>
        <w:t>Analysis</w:t>
      </w:r>
      <w:r w:rsidR="00E26570">
        <w:rPr>
          <w:lang w:val="en-US"/>
        </w:rPr>
        <w:t xml:space="preserve"> Assumptions</w:t>
      </w:r>
    </w:p>
    <w:p w14:paraId="516BEB30" w14:textId="77777777" w:rsidR="00107804" w:rsidRDefault="00107804" w:rsidP="00262604">
      <w:r>
        <w:t xml:space="preserve">The spatial correlation is calculated between two spatial points. It is determined by power weighted average of phase difference between the sample points. The average can be calculated as a sum, since the reference channel model, as well as the probe configuration, are discrete. </w:t>
      </w:r>
      <w:r w:rsidR="00DB31FB">
        <w:t xml:space="preserve">Spatial correlation and the correlation for the ideal and for the discrete case are defined in </w:t>
      </w:r>
      <w:r w:rsidR="008D3F9F">
        <w:fldChar w:fldCharType="begin"/>
      </w:r>
      <w:r w:rsidR="008D3F9F">
        <w:instrText xml:space="preserve"> REF _Ref16672896 \n \h </w:instrText>
      </w:r>
      <w:r w:rsidR="008D3F9F">
        <w:fldChar w:fldCharType="separate"/>
      </w:r>
      <w:r w:rsidR="008D3F9F">
        <w:t>[3]</w:t>
      </w:r>
      <w:r w:rsidR="008D3F9F">
        <w:fldChar w:fldCharType="end"/>
      </w:r>
      <w:r w:rsidR="00DB31FB">
        <w:t>.</w:t>
      </w:r>
    </w:p>
    <w:p w14:paraId="342A6B54" w14:textId="03FE5A9C" w:rsidR="00262604" w:rsidRDefault="00107804" w:rsidP="00262604">
      <w:r>
        <w:t xml:space="preserve">Spatial sampling for correlation analysis was discussed in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sidR="00E9329D">
        <w:rPr>
          <w:lang w:val="en-US"/>
        </w:rPr>
        <w:t xml:space="preserve"> and agreed in </w:t>
      </w:r>
      <w:r w:rsidR="00E9329D">
        <w:rPr>
          <w:lang w:val="en-US"/>
        </w:rPr>
        <w:fldChar w:fldCharType="begin"/>
      </w:r>
      <w:r w:rsidR="00E9329D">
        <w:rPr>
          <w:lang w:val="en-US"/>
        </w:rPr>
        <w:instrText xml:space="preserve"> REF _Ref16682368 \n \h </w:instrText>
      </w:r>
      <w:r w:rsidR="00E9329D">
        <w:rPr>
          <w:lang w:val="en-US"/>
        </w:rPr>
      </w:r>
      <w:r w:rsidR="00E9329D">
        <w:rPr>
          <w:lang w:val="en-US"/>
        </w:rPr>
        <w:fldChar w:fldCharType="separate"/>
      </w:r>
      <w:r w:rsidR="00E9329D">
        <w:rPr>
          <w:lang w:val="en-US"/>
        </w:rPr>
        <w:t>[4]</w:t>
      </w:r>
      <w:r w:rsidR="00E9329D">
        <w:rPr>
          <w:lang w:val="en-US"/>
        </w:rPr>
        <w:fldChar w:fldCharType="end"/>
      </w:r>
      <w:r>
        <w:t>. Here we choose option 5</w:t>
      </w:r>
      <w:r w:rsidR="001D06B8">
        <w:t>, i.e., a disc</w:t>
      </w:r>
      <w:r>
        <w:t xml:space="preserve"> with 20cm </w:t>
      </w:r>
      <w:r w:rsidR="005E490B">
        <w:t>diameter</w:t>
      </w:r>
      <w:r w:rsidR="00162E8E">
        <w:t xml:space="preserve"> to match the test zone size which was previously agreed for smartphone UEs</w:t>
      </w:r>
      <w:r>
        <w:t xml:space="preserve">. </w:t>
      </w:r>
      <w:r w:rsidR="009B3274">
        <w:t>One</w:t>
      </w:r>
      <w:r w:rsidR="001D06B8">
        <w:t xml:space="preserve"> sample point </w:t>
      </w:r>
      <w:r>
        <w:t>is always the centre of the disc</w:t>
      </w:r>
      <w:r w:rsidR="001D06B8">
        <w:t xml:space="preserve"> the other point lies within the disc</w:t>
      </w:r>
      <w:r>
        <w:t>.</w:t>
      </w:r>
      <w:r w:rsidR="001D06B8">
        <w:t xml:space="preserve"> Points are spaced with 0.1</w:t>
      </w:r>
      <w:r w:rsidR="00C90C1E" w:rsidRPr="005C304D">
        <w:rPr>
          <w:rFonts w:ascii="Symbol" w:hAnsi="Symbol"/>
        </w:rPr>
        <w:t></w:t>
      </w:r>
      <w:r w:rsidR="001D06B8">
        <w:t xml:space="preserve"> separation in a Cartesian coordinate system.</w:t>
      </w:r>
      <w:r w:rsidR="00DB31FB">
        <w:t xml:space="preserve"> Examples of the sampling grid are illustrated in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sidR="00DB31FB">
        <w:t>.</w:t>
      </w:r>
    </w:p>
    <w:p w14:paraId="5A6435A7" w14:textId="056A3B82" w:rsidR="005B2830" w:rsidRPr="00CF4680" w:rsidRDefault="009B3274" w:rsidP="005B2830">
      <w:pPr>
        <w:ind w:left="48"/>
        <w:rPr>
          <w:lang w:val="en-US"/>
        </w:rPr>
      </w:pPr>
      <w:r>
        <w:rPr>
          <w:lang w:val="en-US"/>
        </w:rPr>
        <w:t>In this contribution</w:t>
      </w:r>
      <w:r w:rsidR="004D370F">
        <w:rPr>
          <w:lang w:val="en-US"/>
        </w:rPr>
        <w:t>,</w:t>
      </w:r>
      <w:r>
        <w:rPr>
          <w:lang w:val="en-US"/>
        </w:rPr>
        <w:t xml:space="preserve"> the evaluated CDL channel models are non-simplified</w:t>
      </w:r>
      <w:r w:rsidR="006418EB">
        <w:rPr>
          <w:lang w:val="en-US"/>
        </w:rPr>
        <w:t>, i</w:t>
      </w:r>
      <w:r>
        <w:rPr>
          <w:lang w:val="en-US"/>
        </w:rPr>
        <w:t>.e</w:t>
      </w:r>
      <w:r w:rsidR="006D51DD">
        <w:rPr>
          <w:lang w:val="en-US"/>
        </w:rPr>
        <w:t>.,</w:t>
      </w:r>
      <w:r>
        <w:rPr>
          <w:lang w:val="en-US"/>
        </w:rPr>
        <w:t xml:space="preserve"> reference channel models are as specified in</w:t>
      </w:r>
      <w:r w:rsidR="008D3F9F">
        <w:rPr>
          <w:lang w:val="en-US"/>
        </w:rPr>
        <w:t xml:space="preserve"> </w:t>
      </w:r>
      <w:r w:rsidR="008D3F9F">
        <w:rPr>
          <w:lang w:val="en-US"/>
        </w:rPr>
        <w:fldChar w:fldCharType="begin"/>
      </w:r>
      <w:r w:rsidR="008D3F9F">
        <w:rPr>
          <w:lang w:val="en-US"/>
        </w:rPr>
        <w:instrText xml:space="preserve"> REF _Ref16672877 \n \h </w:instrText>
      </w:r>
      <w:r w:rsidR="008D3F9F">
        <w:rPr>
          <w:lang w:val="en-US"/>
        </w:rPr>
      </w:r>
      <w:r w:rsidR="008D3F9F">
        <w:rPr>
          <w:lang w:val="en-US"/>
        </w:rPr>
        <w:fldChar w:fldCharType="separate"/>
      </w:r>
      <w:r w:rsidR="008D3F9F">
        <w:rPr>
          <w:lang w:val="en-US"/>
        </w:rPr>
        <w:t>[2]</w:t>
      </w:r>
      <w:r w:rsidR="008D3F9F">
        <w:rPr>
          <w:lang w:val="en-US"/>
        </w:rPr>
        <w:fldChar w:fldCharType="end"/>
      </w:r>
      <w:r w:rsidRPr="00C5364A">
        <w:rPr>
          <w:lang w:eastAsia="ja-JP"/>
        </w:rPr>
        <w:t xml:space="preserve">. </w:t>
      </w:r>
      <w:r w:rsidR="005B2830" w:rsidRPr="00C5364A">
        <w:rPr>
          <w:lang w:eastAsia="ja-JP"/>
        </w:rPr>
        <w:t xml:space="preserve">They are CDL-A (with UMi scaling) and CDL-C (with UMa scaling). The elevation spread at the UE (arrival) side has been reduced to zero making the channel models 2D as observed by a UE. BS antennas are as agreed in </w:t>
      </w:r>
      <w:r w:rsidR="008D3F9F">
        <w:rPr>
          <w:lang w:eastAsia="ja-JP"/>
        </w:rPr>
        <w:fldChar w:fldCharType="begin"/>
      </w:r>
      <w:r w:rsidR="008D3F9F">
        <w:rPr>
          <w:lang w:eastAsia="ja-JP"/>
        </w:rPr>
        <w:instrText xml:space="preserve"> REF _Ref16672928 \n \h </w:instrText>
      </w:r>
      <w:r w:rsidR="008D3F9F">
        <w:rPr>
          <w:lang w:eastAsia="ja-JP"/>
        </w:rPr>
      </w:r>
      <w:r w:rsidR="008D3F9F">
        <w:rPr>
          <w:lang w:eastAsia="ja-JP"/>
        </w:rPr>
        <w:fldChar w:fldCharType="separate"/>
      </w:r>
      <w:r w:rsidR="00053BCD">
        <w:rPr>
          <w:lang w:eastAsia="ja-JP"/>
        </w:rPr>
        <w:t>[5]</w:t>
      </w:r>
      <w:r w:rsidR="008D3F9F">
        <w:rPr>
          <w:lang w:eastAsia="ja-JP"/>
        </w:rPr>
        <w:fldChar w:fldCharType="end"/>
      </w:r>
      <w:r w:rsidR="005B2830" w:rsidRPr="00C5364A">
        <w:rPr>
          <w:lang w:eastAsia="ja-JP"/>
        </w:rPr>
        <w:t>. Two strongest BS beams are considered, which substantially reduces the effective angular spreads at the UE side</w:t>
      </w:r>
    </w:p>
    <w:p w14:paraId="516B3417" w14:textId="74B8B148" w:rsidR="00262604" w:rsidRDefault="00E26570" w:rsidP="005C304D">
      <w:pPr>
        <w:pStyle w:val="Heading1"/>
      </w:pPr>
      <w:r>
        <w:t xml:space="preserve">Simulation </w:t>
      </w:r>
      <w:r w:rsidR="00262604" w:rsidRPr="00C5364A">
        <w:t>Results</w:t>
      </w:r>
    </w:p>
    <w:p w14:paraId="18BA29D4" w14:textId="02AB8E5D" w:rsidR="009B3274" w:rsidRDefault="009B3274" w:rsidP="000606FD">
      <w:pPr>
        <w:ind w:left="48"/>
        <w:rPr>
          <w:rFonts w:eastAsia="Batang"/>
          <w:lang w:val="en-US"/>
        </w:rPr>
      </w:pPr>
      <w:r>
        <w:rPr>
          <w:rFonts w:eastAsia="Batang"/>
          <w:lang w:val="en-US"/>
        </w:rPr>
        <w:t>As a reminder</w:t>
      </w:r>
      <w:r w:rsidR="00053BCD">
        <w:rPr>
          <w:rFonts w:eastAsia="Batang"/>
          <w:lang w:val="en-US"/>
        </w:rPr>
        <w:t>,</w:t>
      </w:r>
      <w:r>
        <w:rPr>
          <w:rFonts w:eastAsia="Batang"/>
          <w:lang w:val="en-US"/>
        </w:rPr>
        <w:t xml:space="preserve"> we show</w:t>
      </w:r>
      <w:r w:rsidR="00120064">
        <w:rPr>
          <w:rFonts w:eastAsia="Batang"/>
          <w:lang w:val="en-US"/>
        </w:rPr>
        <w:t xml:space="preserve"> </w:t>
      </w:r>
      <w:r>
        <w:rPr>
          <w:rFonts w:eastAsia="Batang"/>
          <w:lang w:val="en-US"/>
        </w:rPr>
        <w:t xml:space="preserve">weighted rms correlation error </w:t>
      </w:r>
      <w:r w:rsidR="002211B2">
        <w:rPr>
          <w:rFonts w:eastAsia="Batang"/>
          <w:lang w:val="en-US"/>
        </w:rPr>
        <w:t>curves with the settings</w:t>
      </w:r>
      <w:r w:rsidR="00D4766C">
        <w:rPr>
          <w:rFonts w:eastAsia="Batang"/>
          <w:lang w:val="en-US"/>
        </w:rPr>
        <w:t xml:space="preserve">, e.g., 90% power </w:t>
      </w:r>
      <w:r w:rsidR="0084207E">
        <w:rPr>
          <w:rFonts w:eastAsia="Batang"/>
          <w:lang w:val="en-US"/>
        </w:rPr>
        <w:t>filtering,</w:t>
      </w:r>
      <w:r w:rsidR="002211B2">
        <w:rPr>
          <w:rFonts w:eastAsia="Batang"/>
          <w:lang w:val="en-US"/>
        </w:rPr>
        <w:t xml:space="preserve"> of </w:t>
      </w:r>
      <w:r w:rsidR="008D3F9F">
        <w:rPr>
          <w:lang w:val="en-US"/>
        </w:rPr>
        <w:fldChar w:fldCharType="begin"/>
      </w:r>
      <w:r w:rsidR="008D3F9F">
        <w:rPr>
          <w:lang w:val="en-US"/>
        </w:rPr>
        <w:instrText xml:space="preserve"> REF _Ref16672762 \n \h </w:instrText>
      </w:r>
      <w:r w:rsidR="008D3F9F">
        <w:rPr>
          <w:lang w:val="en-US"/>
        </w:rPr>
      </w:r>
      <w:r w:rsidR="008D3F9F">
        <w:rPr>
          <w:lang w:val="en-US"/>
        </w:rPr>
        <w:fldChar w:fldCharType="separate"/>
      </w:r>
      <w:r w:rsidR="008D3F9F">
        <w:rPr>
          <w:lang w:val="en-US"/>
        </w:rPr>
        <w:t>[1]</w:t>
      </w:r>
      <w:r w:rsidR="008D3F9F">
        <w:rPr>
          <w:lang w:val="en-US"/>
        </w:rPr>
        <w:fldChar w:fldCharType="end"/>
      </w:r>
      <w:r w:rsidR="005E488A">
        <w:rPr>
          <w:lang w:val="en-US"/>
        </w:rPr>
        <w:t xml:space="preserve"> </w:t>
      </w:r>
      <w:r w:rsidR="005E488A">
        <w:rPr>
          <w:rFonts w:eastAsia="Batang"/>
          <w:lang w:val="en-US"/>
        </w:rPr>
        <w:t xml:space="preserve">in </w:t>
      </w:r>
      <w:r w:rsidR="005E488A">
        <w:rPr>
          <w:rFonts w:eastAsia="Batang"/>
          <w:lang w:val="en-US"/>
        </w:rPr>
        <w:fldChar w:fldCharType="begin"/>
      </w:r>
      <w:r w:rsidR="005E488A">
        <w:rPr>
          <w:rFonts w:eastAsia="Batang"/>
          <w:lang w:val="en-US"/>
        </w:rPr>
        <w:instrText xml:space="preserve"> REF _Ref16672737 \h </w:instrText>
      </w:r>
      <w:r w:rsidR="005E488A">
        <w:rPr>
          <w:rFonts w:eastAsia="Batang"/>
          <w:lang w:val="en-US"/>
        </w:rPr>
      </w:r>
      <w:r w:rsidR="005E488A">
        <w:rPr>
          <w:rFonts w:eastAsia="Batang"/>
          <w:lang w:val="en-US"/>
        </w:rPr>
        <w:fldChar w:fldCharType="separate"/>
      </w:r>
      <w:r w:rsidR="005E488A">
        <w:t xml:space="preserve">Figure </w:t>
      </w:r>
      <w:r w:rsidR="005E488A">
        <w:rPr>
          <w:noProof/>
        </w:rPr>
        <w:t>1</w:t>
      </w:r>
      <w:r w:rsidR="005E488A">
        <w:rPr>
          <w:rFonts w:eastAsia="Batang"/>
          <w:lang w:val="en-US"/>
        </w:rPr>
        <w:fldChar w:fldCharType="end"/>
      </w:r>
      <w:r w:rsidR="002211B2">
        <w:rPr>
          <w:rFonts w:eastAsia="Batang"/>
          <w:lang w:val="en-US"/>
        </w:rPr>
        <w:t xml:space="preserve">. </w:t>
      </w:r>
      <w:r w:rsidR="007E7C3C">
        <w:rPr>
          <w:rFonts w:eastAsia="Batang"/>
          <w:lang w:val="en-US"/>
        </w:rPr>
        <w:t xml:space="preserve">The figure clearly indicates that sector configurations require less probes than the ring configuration for low correlation </w:t>
      </w:r>
      <w:r w:rsidR="005C46C0">
        <w:rPr>
          <w:rFonts w:eastAsia="Batang"/>
          <w:lang w:val="en-US"/>
        </w:rPr>
        <w:t>error</w:t>
      </w:r>
      <w:r w:rsidR="00186EFD">
        <w:rPr>
          <w:rFonts w:eastAsia="Batang"/>
          <w:lang w:val="en-US"/>
        </w:rPr>
        <w:t>s</w:t>
      </w:r>
      <w:r w:rsidR="007E7C3C">
        <w:rPr>
          <w:rFonts w:eastAsia="Batang"/>
          <w:lang w:val="en-US"/>
        </w:rPr>
        <w:t>.</w:t>
      </w:r>
      <w:r w:rsidR="005C46C0">
        <w:rPr>
          <w:rFonts w:eastAsia="Batang"/>
          <w:lang w:val="en-US"/>
        </w:rPr>
        <w:t xml:space="preserve"> For this </w:t>
      </w:r>
      <w:r w:rsidR="007D7B6B">
        <w:rPr>
          <w:rFonts w:eastAsia="Batang"/>
          <w:lang w:val="en-US"/>
        </w:rPr>
        <w:t>reason,</w:t>
      </w:r>
      <w:r w:rsidR="005C46C0">
        <w:rPr>
          <w:rFonts w:eastAsia="Batang"/>
          <w:lang w:val="en-US"/>
        </w:rPr>
        <w:t xml:space="preserve"> we focus on the sector configuration in this contribution.</w:t>
      </w:r>
      <w:r w:rsidR="007D7B6B">
        <w:rPr>
          <w:rFonts w:eastAsia="Batang"/>
          <w:lang w:val="en-US"/>
        </w:rPr>
        <w:t xml:space="preserve"> Among the (dashed) sector configuration curves, we can observe that the dark blue 7.15GHz CDL-C</w:t>
      </w:r>
      <w:r w:rsidR="00B729BF">
        <w:rPr>
          <w:rFonts w:eastAsia="Batang"/>
          <w:lang w:val="en-US"/>
        </w:rPr>
        <w:t xml:space="preserve"> (UMa)</w:t>
      </w:r>
      <w:r w:rsidR="007D7B6B">
        <w:rPr>
          <w:rFonts w:eastAsia="Batang"/>
          <w:lang w:val="en-US"/>
        </w:rPr>
        <w:t xml:space="preserve"> curve </w:t>
      </w:r>
      <w:r w:rsidR="00C669BE">
        <w:rPr>
          <w:rFonts w:eastAsia="Batang"/>
          <w:lang w:val="en-US"/>
        </w:rPr>
        <w:t xml:space="preserve">generally </w:t>
      </w:r>
      <w:r w:rsidR="007D7B6B">
        <w:rPr>
          <w:rFonts w:eastAsia="Batang"/>
          <w:lang w:val="en-US"/>
        </w:rPr>
        <w:t xml:space="preserve">has </w:t>
      </w:r>
      <w:r w:rsidR="00C861D6">
        <w:rPr>
          <w:rFonts w:eastAsia="Batang"/>
          <w:lang w:val="en-US"/>
        </w:rPr>
        <w:t xml:space="preserve">the </w:t>
      </w:r>
      <w:r w:rsidR="007D7B6B">
        <w:rPr>
          <w:rFonts w:eastAsia="Batang"/>
          <w:lang w:val="en-US"/>
        </w:rPr>
        <w:t>highest error values. In other words, the 7.1</w:t>
      </w:r>
      <w:r w:rsidR="00743AC4">
        <w:rPr>
          <w:rFonts w:eastAsia="Batang"/>
          <w:lang w:val="en-US"/>
        </w:rPr>
        <w:t>2</w:t>
      </w:r>
      <w:r w:rsidR="007D7B6B">
        <w:rPr>
          <w:rFonts w:eastAsia="Batang"/>
          <w:lang w:val="en-US"/>
        </w:rPr>
        <w:t>5GHz CDL-C case is the most challenging one and requires highest number of probes among the sector configuration cases. Therefore, we choose that case for supplemental investigations.</w:t>
      </w:r>
    </w:p>
    <w:p w14:paraId="38E36AD4" w14:textId="77777777" w:rsidR="009B3274" w:rsidRDefault="009B3274" w:rsidP="000606FD">
      <w:pPr>
        <w:ind w:left="48"/>
        <w:rPr>
          <w:rFonts w:eastAsia="Batang"/>
          <w:lang w:val="en-US"/>
        </w:rPr>
      </w:pPr>
      <w:r>
        <w:rPr>
          <w:noProof/>
        </w:rPr>
        <w:lastRenderedPageBreak/>
        <w:drawing>
          <wp:inline distT="0" distB="0" distL="0" distR="0" wp14:anchorId="1D5741CB" wp14:editId="3783C9A3">
            <wp:extent cx="6114415" cy="282257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2822575"/>
                    </a:xfrm>
                    <a:prstGeom prst="rect">
                      <a:avLst/>
                    </a:prstGeom>
                    <a:noFill/>
                    <a:ln>
                      <a:noFill/>
                    </a:ln>
                  </pic:spPr>
                </pic:pic>
              </a:graphicData>
            </a:graphic>
          </wp:inline>
        </w:drawing>
      </w:r>
    </w:p>
    <w:p w14:paraId="0786256E" w14:textId="368FC2DC" w:rsidR="00120064" w:rsidRDefault="00120064" w:rsidP="00120064">
      <w:pPr>
        <w:pStyle w:val="Caption"/>
      </w:pPr>
      <w:bookmarkStart w:id="3" w:name="_Ref16672737"/>
      <w:r>
        <w:t xml:space="preserve">Figure </w:t>
      </w:r>
      <w:r>
        <w:fldChar w:fldCharType="begin"/>
      </w:r>
      <w:r>
        <w:instrText xml:space="preserve"> SEQ Figure \* ARABIC </w:instrText>
      </w:r>
      <w:r>
        <w:fldChar w:fldCharType="separate"/>
      </w:r>
      <w:r w:rsidR="00A56CB4">
        <w:rPr>
          <w:noProof/>
        </w:rPr>
        <w:t>1</w:t>
      </w:r>
      <w:r>
        <w:fldChar w:fldCharType="end"/>
      </w:r>
      <w:bookmarkEnd w:id="3"/>
      <w:r>
        <w:t xml:space="preserve">. </w:t>
      </w:r>
      <w:r w:rsidRPr="00120064">
        <w:t>Weighted RMS spatial correlation error as a function of number of probes in eight different channel model, centre frequency, and probe configuration combinations.</w:t>
      </w:r>
    </w:p>
    <w:p w14:paraId="40569B58" w14:textId="77777777" w:rsidR="007E7C3C" w:rsidRDefault="007E7C3C" w:rsidP="007E7C3C"/>
    <w:p w14:paraId="55924327" w14:textId="55030D75" w:rsidR="000E2AC4" w:rsidRDefault="000E2AC4" w:rsidP="007E7C3C">
      <w:r>
        <w:fldChar w:fldCharType="begin"/>
      </w:r>
      <w:r>
        <w:instrText xml:space="preserve"> REF _Ref16686485 \h </w:instrText>
      </w:r>
      <w:r>
        <w:fldChar w:fldCharType="separate"/>
      </w:r>
      <w:r>
        <w:t xml:space="preserve">Figure </w:t>
      </w:r>
      <w:r>
        <w:rPr>
          <w:noProof/>
        </w:rPr>
        <w:t>2</w:t>
      </w:r>
      <w:r>
        <w:fldChar w:fldCharType="end"/>
      </w:r>
      <w:r>
        <w:t xml:space="preserve"> illustrates </w:t>
      </w:r>
      <w:r w:rsidR="00EE05AE">
        <w:t xml:space="preserve">the </w:t>
      </w:r>
      <w:r>
        <w:t xml:space="preserve">probe </w:t>
      </w:r>
      <w:r w:rsidR="00EE05AE">
        <w:t xml:space="preserve">configuration </w:t>
      </w:r>
      <w:r>
        <w:t xml:space="preserve">in the case of eight probes and CDL-C (UMa) channel model. </w:t>
      </w:r>
      <w:r w:rsidRPr="00C5364A">
        <w:rPr>
          <w:lang w:eastAsia="ja-JP"/>
        </w:rPr>
        <w:t>Rays are denoted with blue dots</w:t>
      </w:r>
      <w:r>
        <w:rPr>
          <w:lang w:eastAsia="ja-JP"/>
        </w:rPr>
        <w:t xml:space="preserve">. Magnitudes of rays are indicated by </w:t>
      </w:r>
      <w:r w:rsidR="00035ED9">
        <w:rPr>
          <w:lang w:eastAsia="ja-JP"/>
        </w:rPr>
        <w:t>radii</w:t>
      </w:r>
      <w:r w:rsidRPr="00C5364A">
        <w:rPr>
          <w:lang w:eastAsia="ja-JP"/>
        </w:rPr>
        <w:t xml:space="preserve">. </w:t>
      </w:r>
      <w:r w:rsidR="00CB0C39">
        <w:rPr>
          <w:lang w:eastAsia="ja-JP"/>
        </w:rPr>
        <w:t xml:space="preserve">The </w:t>
      </w:r>
      <w:r w:rsidR="0041723C">
        <w:rPr>
          <w:lang w:eastAsia="ja-JP"/>
        </w:rPr>
        <w:t>probe</w:t>
      </w:r>
      <w:r w:rsidR="00CB0C39">
        <w:rPr>
          <w:lang w:eastAsia="ja-JP"/>
        </w:rPr>
        <w:t xml:space="preserve"> locations with fixed</w:t>
      </w:r>
      <w:r w:rsidR="00B12562">
        <w:rPr>
          <w:lang w:eastAsia="ja-JP"/>
        </w:rPr>
        <w:t xml:space="preserve"> angular separation</w:t>
      </w:r>
      <w:r>
        <w:rPr>
          <w:lang w:eastAsia="ja-JP"/>
        </w:rPr>
        <w:t xml:space="preserve"> </w:t>
      </w:r>
      <w:r w:rsidRPr="00C5364A">
        <w:rPr>
          <w:lang w:eastAsia="ja-JP"/>
        </w:rPr>
        <w:t xml:space="preserve">are </w:t>
      </w:r>
      <w:r>
        <w:rPr>
          <w:lang w:eastAsia="ja-JP"/>
        </w:rPr>
        <w:t>denoted with circles</w:t>
      </w:r>
      <w:r w:rsidRPr="00C5364A">
        <w:rPr>
          <w:lang w:eastAsia="ja-JP"/>
        </w:rPr>
        <w:t xml:space="preserve"> </w:t>
      </w:r>
      <w:r>
        <w:rPr>
          <w:lang w:eastAsia="ja-JP"/>
        </w:rPr>
        <w:t>in</w:t>
      </w:r>
      <w:r w:rsidRPr="00C5364A">
        <w:rPr>
          <w:lang w:eastAsia="ja-JP"/>
        </w:rPr>
        <w:t xml:space="preserve"> the polar plot</w:t>
      </w:r>
      <w:r w:rsidR="00B12562">
        <w:rPr>
          <w:lang w:eastAsia="ja-JP"/>
        </w:rPr>
        <w:t xml:space="preserve">; </w:t>
      </w:r>
      <w:r w:rsidR="00966E74">
        <w:rPr>
          <w:lang w:eastAsia="ja-JP"/>
        </w:rPr>
        <w:t>a non-uniform spacing of probes</w:t>
      </w:r>
      <w:r w:rsidR="00D73F92">
        <w:rPr>
          <w:lang w:eastAsia="ja-JP"/>
        </w:rPr>
        <w:t xml:space="preserve"> within the sector could further reduce the number of probes and will be investigated in subsequent contributions</w:t>
      </w:r>
      <w:r w:rsidRPr="00C5364A">
        <w:rPr>
          <w:lang w:eastAsia="ja-JP"/>
        </w:rPr>
        <w:t xml:space="preserve">. </w:t>
      </w:r>
      <w:r>
        <w:t xml:space="preserve">Angular sector widths for probes </w:t>
      </w:r>
      <w:r w:rsidR="00F23325">
        <w:t xml:space="preserve">chosen to contain </w:t>
      </w:r>
      <w:r>
        <w:rPr>
          <w:rFonts w:eastAsia="Batang"/>
          <w:lang w:val="en-US"/>
        </w:rPr>
        <w:t>85, 90, 95, 99, and 100%</w:t>
      </w:r>
      <w:r w:rsidR="00F23325">
        <w:rPr>
          <w:rFonts w:eastAsia="Batang"/>
          <w:lang w:val="en-US"/>
        </w:rPr>
        <w:t xml:space="preserve"> of the total power</w:t>
      </w:r>
      <w:r>
        <w:rPr>
          <w:rFonts w:eastAsia="Batang"/>
          <w:lang w:val="en-US"/>
        </w:rPr>
        <w:t xml:space="preserve">. </w:t>
      </w:r>
      <w:r w:rsidR="00E857FB">
        <w:rPr>
          <w:rFonts w:eastAsia="Batang"/>
          <w:lang w:val="en-US"/>
        </w:rPr>
        <w:t>In each case</w:t>
      </w:r>
      <w:r w:rsidR="00F23325">
        <w:rPr>
          <w:rFonts w:eastAsia="Batang"/>
          <w:lang w:val="en-US"/>
        </w:rPr>
        <w:t>,</w:t>
      </w:r>
      <w:r w:rsidR="00E857FB">
        <w:rPr>
          <w:rFonts w:eastAsia="Batang"/>
          <w:lang w:val="en-US"/>
        </w:rPr>
        <w:t xml:space="preserve"> the angular spacing of probes within the sector is uniform</w:t>
      </w:r>
      <w:r w:rsidR="003D0C73">
        <w:rPr>
          <w:rFonts w:eastAsia="Batang"/>
          <w:lang w:val="en-US"/>
        </w:rPr>
        <w:t xml:space="preserve"> and additional 5</w:t>
      </w:r>
      <w:r w:rsidR="003D0C73">
        <w:rPr>
          <w:rFonts w:eastAsia="Batang"/>
          <w:lang w:val="en-US"/>
        </w:rPr>
        <w:sym w:font="Symbol" w:char="F0B0"/>
      </w:r>
      <w:r w:rsidR="003D0C73">
        <w:rPr>
          <w:rFonts w:eastAsia="Batang"/>
          <w:lang w:val="en-US"/>
        </w:rPr>
        <w:t xml:space="preserve"> segment is added to both edges of the X% sector</w:t>
      </w:r>
      <w:r w:rsidR="00E857FB">
        <w:rPr>
          <w:rFonts w:eastAsia="Batang"/>
          <w:lang w:val="en-US"/>
        </w:rPr>
        <w:t xml:space="preserve">. </w:t>
      </w:r>
      <w:r w:rsidR="003D0C73">
        <w:rPr>
          <w:rFonts w:eastAsia="Batang"/>
          <w:lang w:val="en-US"/>
        </w:rPr>
        <w:t xml:space="preserve">In </w:t>
      </w:r>
      <w:r w:rsidR="003D0C73">
        <w:fldChar w:fldCharType="begin"/>
      </w:r>
      <w:r w:rsidR="003D0C73">
        <w:instrText xml:space="preserve"> REF _Ref16686485 \h </w:instrText>
      </w:r>
      <w:r w:rsidR="003D0C73">
        <w:fldChar w:fldCharType="separate"/>
      </w:r>
      <w:r w:rsidR="003D0C73">
        <w:t xml:space="preserve">Figure </w:t>
      </w:r>
      <w:r w:rsidR="003D0C73">
        <w:rPr>
          <w:noProof/>
        </w:rPr>
        <w:t>2</w:t>
      </w:r>
      <w:r w:rsidR="003D0C73">
        <w:fldChar w:fldCharType="end"/>
      </w:r>
      <w:r w:rsidR="003D0C73">
        <w:t xml:space="preserve">, </w:t>
      </w:r>
      <w:r w:rsidR="0041723C">
        <w:t>e.g.,</w:t>
      </w:r>
      <w:r>
        <w:rPr>
          <w:rFonts w:eastAsia="Batang"/>
          <w:lang w:val="en-US"/>
        </w:rPr>
        <w:t xml:space="preserve"> in the 90% power case the sector has its left edge in 200</w:t>
      </w:r>
      <w:r>
        <w:rPr>
          <w:rFonts w:eastAsia="Batang"/>
          <w:lang w:val="en-US"/>
        </w:rPr>
        <w:sym w:font="Symbol" w:char="F0B0"/>
      </w:r>
      <w:r>
        <w:rPr>
          <w:rFonts w:eastAsia="Batang"/>
          <w:lang w:val="en-US"/>
        </w:rPr>
        <w:t xml:space="preserve"> and the right edge in 100</w:t>
      </w:r>
      <w:r>
        <w:rPr>
          <w:rFonts w:eastAsia="Batang"/>
          <w:lang w:val="en-US"/>
        </w:rPr>
        <w:sym w:font="Symbol" w:char="F0B0"/>
      </w:r>
      <w:r>
        <w:rPr>
          <w:rFonts w:eastAsia="Batang"/>
          <w:lang w:val="en-US"/>
        </w:rPr>
        <w:t xml:space="preserve">. </w:t>
      </w:r>
      <w:r w:rsidR="00E857FB">
        <w:rPr>
          <w:rFonts w:eastAsia="Batang"/>
          <w:lang w:val="en-US"/>
        </w:rPr>
        <w:t>We can also observe that th</w:t>
      </w:r>
      <w:r>
        <w:rPr>
          <w:rFonts w:eastAsia="Batang"/>
          <w:lang w:val="en-US"/>
        </w:rPr>
        <w:t>e 100% sector case is identical to the full ring case. This is a consequence of small power rays all around the 360</w:t>
      </w:r>
      <w:r>
        <w:rPr>
          <w:rFonts w:eastAsia="Batang"/>
          <w:lang w:val="en-US"/>
        </w:rPr>
        <w:sym w:font="Symbol" w:char="F0B0"/>
      </w:r>
      <w:r>
        <w:rPr>
          <w:rFonts w:eastAsia="Batang"/>
          <w:lang w:val="en-US"/>
        </w:rPr>
        <w:t xml:space="preserve"> AoA sector (see blue dots in the origin of the polar plot).</w:t>
      </w:r>
    </w:p>
    <w:p w14:paraId="6727143F" w14:textId="77777777" w:rsidR="000E2AC4" w:rsidRDefault="000E2AC4" w:rsidP="00FB43EF">
      <w:pPr>
        <w:jc w:val="center"/>
      </w:pPr>
      <w:r>
        <w:rPr>
          <w:rFonts w:eastAsia="Batang"/>
          <w:noProof/>
          <w:lang w:val="en-US"/>
        </w:rPr>
        <w:drawing>
          <wp:inline distT="0" distB="0" distL="0" distR="0" wp14:anchorId="746AA077" wp14:editId="399AE4E0">
            <wp:extent cx="3554233" cy="286562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6208" cy="2883337"/>
                    </a:xfrm>
                    <a:prstGeom prst="rect">
                      <a:avLst/>
                    </a:prstGeom>
                    <a:noFill/>
                    <a:ln>
                      <a:noFill/>
                    </a:ln>
                  </pic:spPr>
                </pic:pic>
              </a:graphicData>
            </a:graphic>
          </wp:inline>
        </w:drawing>
      </w:r>
    </w:p>
    <w:p w14:paraId="61408FFF" w14:textId="058FC174" w:rsidR="000E2AC4" w:rsidRDefault="000E2AC4" w:rsidP="000E2AC4">
      <w:pPr>
        <w:pStyle w:val="Caption"/>
      </w:pPr>
      <w:bookmarkStart w:id="4" w:name="_Ref16686485"/>
      <w:r>
        <w:t xml:space="preserve">Figure </w:t>
      </w:r>
      <w:r>
        <w:fldChar w:fldCharType="begin"/>
      </w:r>
      <w:r>
        <w:instrText xml:space="preserve"> SEQ Figure \* ARABIC </w:instrText>
      </w:r>
      <w:r>
        <w:fldChar w:fldCharType="separate"/>
      </w:r>
      <w:r w:rsidR="00A56CB4">
        <w:rPr>
          <w:noProof/>
        </w:rPr>
        <w:t>2</w:t>
      </w:r>
      <w:r>
        <w:fldChar w:fldCharType="end"/>
      </w:r>
      <w:bookmarkEnd w:id="4"/>
      <w:r>
        <w:t xml:space="preserve">. Ray and probe angles in CDL-C (UMa) case with eight probes and various probe sector widths. </w:t>
      </w:r>
    </w:p>
    <w:p w14:paraId="04E1250C" w14:textId="77777777" w:rsidR="000E2AC4" w:rsidRDefault="000E2AC4" w:rsidP="007E7C3C"/>
    <w:p w14:paraId="4C56F70E" w14:textId="63E9D9AA" w:rsidR="00EC6BAF" w:rsidRDefault="00E857FB" w:rsidP="007E7C3C">
      <w:pPr>
        <w:rPr>
          <w:rFonts w:eastAsia="Batang"/>
          <w:lang w:val="en-US"/>
        </w:rPr>
      </w:pPr>
      <w:r>
        <w:rPr>
          <w:rFonts w:eastAsia="Batang"/>
          <w:lang w:val="en-US"/>
        </w:rPr>
        <w:t xml:space="preserve">In </w:t>
      </w:r>
      <w:r>
        <w:rPr>
          <w:rFonts w:eastAsia="Batang"/>
          <w:lang w:val="en-US"/>
        </w:rPr>
        <w:fldChar w:fldCharType="begin"/>
      </w:r>
      <w:r>
        <w:rPr>
          <w:rFonts w:eastAsia="Batang"/>
          <w:lang w:val="en-US"/>
        </w:rPr>
        <w:instrText xml:space="preserve"> REF _Ref16684255 \h </w:instrText>
      </w:r>
      <w:r>
        <w:rPr>
          <w:rFonts w:eastAsia="Batang"/>
          <w:lang w:val="en-US"/>
        </w:rPr>
      </w:r>
      <w:r>
        <w:rPr>
          <w:rFonts w:eastAsia="Batang"/>
          <w:lang w:val="en-US"/>
        </w:rPr>
        <w:fldChar w:fldCharType="separate"/>
      </w:r>
      <w:r>
        <w:t xml:space="preserve">Figure </w:t>
      </w:r>
      <w:r>
        <w:rPr>
          <w:noProof/>
        </w:rPr>
        <w:t>3</w:t>
      </w:r>
      <w:r>
        <w:rPr>
          <w:rFonts w:eastAsia="Batang"/>
          <w:lang w:val="en-US"/>
        </w:rPr>
        <w:fldChar w:fldCharType="end"/>
      </w:r>
      <w:r>
        <w:rPr>
          <w:rFonts w:eastAsia="Batang"/>
          <w:lang w:val="en-US"/>
        </w:rPr>
        <w:t xml:space="preserve"> we show </w:t>
      </w:r>
      <w:r w:rsidR="0004529E">
        <w:rPr>
          <w:rFonts w:eastAsia="Batang"/>
          <w:lang w:val="en-US"/>
        </w:rPr>
        <w:t xml:space="preserve">the </w:t>
      </w:r>
      <w:r>
        <w:rPr>
          <w:rFonts w:eastAsia="Batang"/>
          <w:lang w:val="en-US"/>
        </w:rPr>
        <w:t xml:space="preserve">weighted rms correlation errors of the configurations of </w:t>
      </w:r>
      <w:r>
        <w:fldChar w:fldCharType="begin"/>
      </w:r>
      <w:r>
        <w:instrText xml:space="preserve"> REF _Ref16686485 \h </w:instrText>
      </w:r>
      <w:r>
        <w:fldChar w:fldCharType="separate"/>
      </w:r>
      <w:r>
        <w:t xml:space="preserve">Figure </w:t>
      </w:r>
      <w:r>
        <w:rPr>
          <w:noProof/>
        </w:rPr>
        <w:t>2</w:t>
      </w:r>
      <w:r>
        <w:fldChar w:fldCharType="end"/>
      </w:r>
      <w:r>
        <w:rPr>
          <w:rFonts w:eastAsia="Batang"/>
          <w:lang w:val="en-US"/>
        </w:rPr>
        <w:t xml:space="preserve">. Evidently, the 100% sector gives the worst performance, being identical to a ring configuration. </w:t>
      </w:r>
      <w:r w:rsidR="00FB43EF">
        <w:rPr>
          <w:rFonts w:eastAsia="Batang"/>
          <w:lang w:val="en-US"/>
        </w:rPr>
        <w:t xml:space="preserve">The 85% power sector </w:t>
      </w:r>
      <w:r w:rsidR="00D73ACE">
        <w:rPr>
          <w:rFonts w:eastAsia="Batang"/>
          <w:lang w:val="en-US"/>
        </w:rPr>
        <w:t xml:space="preserve">yields the </w:t>
      </w:r>
      <w:r w:rsidR="00FB43EF">
        <w:rPr>
          <w:rFonts w:eastAsia="Batang"/>
          <w:lang w:val="en-US"/>
        </w:rPr>
        <w:t xml:space="preserve">lowest error </w:t>
      </w:r>
      <w:r w:rsidR="00D73ACE">
        <w:rPr>
          <w:rFonts w:eastAsia="Batang"/>
          <w:lang w:val="en-US"/>
        </w:rPr>
        <w:t xml:space="preserve">with </w:t>
      </w:r>
      <w:r w:rsidR="00FB43EF">
        <w:rPr>
          <w:rFonts w:eastAsia="Batang"/>
          <w:lang w:val="en-US"/>
        </w:rPr>
        <w:lastRenderedPageBreak/>
        <w:t xml:space="preserve">small probe numbers but the highest error floor </w:t>
      </w:r>
      <w:r w:rsidR="00D73ACE">
        <w:rPr>
          <w:rFonts w:eastAsia="Batang"/>
          <w:lang w:val="en-US"/>
        </w:rPr>
        <w:t xml:space="preserve">with </w:t>
      </w:r>
      <w:r w:rsidR="00FB43EF">
        <w:rPr>
          <w:rFonts w:eastAsia="Batang"/>
          <w:lang w:val="en-US"/>
        </w:rPr>
        <w:t>larger probe numbers. Both the 85% and 90% cases</w:t>
      </w:r>
      <w:r>
        <w:rPr>
          <w:rFonts w:eastAsia="Batang"/>
          <w:lang w:val="en-US"/>
        </w:rPr>
        <w:t xml:space="preserve"> </w:t>
      </w:r>
      <w:r w:rsidR="00FB43EF">
        <w:rPr>
          <w:rFonts w:eastAsia="Batang"/>
          <w:lang w:val="en-US"/>
        </w:rPr>
        <w:t xml:space="preserve">provide below 0.1 error with nine or more probes. </w:t>
      </w:r>
    </w:p>
    <w:p w14:paraId="3F50A8AE" w14:textId="79B81374" w:rsidR="00E857FB" w:rsidRDefault="00EC6BAF" w:rsidP="007E7C3C">
      <w:pPr>
        <w:rPr>
          <w:rFonts w:eastAsia="Batang"/>
          <w:lang w:val="en-US"/>
        </w:rPr>
      </w:pPr>
      <w:r>
        <w:rPr>
          <w:rFonts w:eastAsia="Batang"/>
          <w:lang w:val="en-US"/>
        </w:rPr>
        <w:t xml:space="preserve">The 99% curve </w:t>
      </w:r>
      <w:r w:rsidR="00D97CBE">
        <w:rPr>
          <w:rFonts w:eastAsia="Batang"/>
          <w:lang w:val="en-US"/>
        </w:rPr>
        <w:t>yields</w:t>
      </w:r>
      <w:r>
        <w:rPr>
          <w:rFonts w:eastAsia="Batang"/>
          <w:lang w:val="en-US"/>
        </w:rPr>
        <w:t xml:space="preserve"> worse performance </w:t>
      </w:r>
      <w:r w:rsidR="00E62028">
        <w:rPr>
          <w:rFonts w:eastAsia="Batang"/>
          <w:lang w:val="en-US"/>
        </w:rPr>
        <w:t xml:space="preserve">with </w:t>
      </w:r>
      <w:r>
        <w:rPr>
          <w:rFonts w:eastAsia="Batang"/>
          <w:lang w:val="en-US"/>
        </w:rPr>
        <w:t>small probe numbers but the best performance on 20 and more probes</w:t>
      </w:r>
      <w:r w:rsidR="00E62028">
        <w:rPr>
          <w:rFonts w:eastAsia="Batang"/>
          <w:lang w:val="en-US"/>
        </w:rPr>
        <w:t xml:space="preserve"> among the sector</w:t>
      </w:r>
      <w:r w:rsidR="00E70922">
        <w:rPr>
          <w:rFonts w:eastAsia="Batang"/>
          <w:lang w:val="en-US"/>
        </w:rPr>
        <w:t>ed probe</w:t>
      </w:r>
      <w:r w:rsidR="009C11C9">
        <w:rPr>
          <w:rFonts w:eastAsia="Batang"/>
          <w:lang w:val="en-US"/>
        </w:rPr>
        <w:t xml:space="preserve"> configurations</w:t>
      </w:r>
      <w:r w:rsidR="00E70922">
        <w:rPr>
          <w:rFonts w:eastAsia="Batang"/>
          <w:lang w:val="en-US"/>
        </w:rPr>
        <w:t xml:space="preserve"> (and not the full ring configuration)</w:t>
      </w:r>
      <w:r>
        <w:rPr>
          <w:rFonts w:eastAsia="Batang"/>
          <w:lang w:val="en-US"/>
        </w:rPr>
        <w:t xml:space="preserve">. The result indicates the impact of </w:t>
      </w:r>
      <w:proofErr w:type="gramStart"/>
      <w:r>
        <w:rPr>
          <w:rFonts w:eastAsia="Batang"/>
          <w:lang w:val="en-US"/>
        </w:rPr>
        <w:t>sufficient</w:t>
      </w:r>
      <w:proofErr w:type="gramEnd"/>
      <w:r>
        <w:rPr>
          <w:rFonts w:eastAsia="Batang"/>
          <w:lang w:val="en-US"/>
        </w:rPr>
        <w:t xml:space="preserve"> small angular sampling by probes and sufficient wide sector to cover also weaker ray directions. With small probe numbers the angular sampling is too sparse and the resulting error is high. On larger probe numbers the spatial sampling becomes adequate and the sector width starts to dominate the correlation error.</w:t>
      </w:r>
    </w:p>
    <w:p w14:paraId="1463F7D3" w14:textId="77777777" w:rsidR="00995981" w:rsidRDefault="006309D4" w:rsidP="007E7C3C">
      <w:r>
        <w:rPr>
          <w:noProof/>
        </w:rPr>
        <w:drawing>
          <wp:inline distT="0" distB="0" distL="0" distR="0" wp14:anchorId="6003F678" wp14:editId="13134006">
            <wp:extent cx="6106602" cy="2663321"/>
            <wp:effectExtent l="0" t="0" r="889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365" r="7364"/>
                    <a:stretch/>
                  </pic:blipFill>
                  <pic:spPr bwMode="auto">
                    <a:xfrm>
                      <a:off x="0" y="0"/>
                      <a:ext cx="6210349" cy="2708569"/>
                    </a:xfrm>
                    <a:prstGeom prst="rect">
                      <a:avLst/>
                    </a:prstGeom>
                    <a:noFill/>
                    <a:ln>
                      <a:noFill/>
                    </a:ln>
                    <a:extLst>
                      <a:ext uri="{53640926-AAD7-44D8-BBD7-CCE9431645EC}">
                        <a14:shadowObscured xmlns:a14="http://schemas.microsoft.com/office/drawing/2010/main"/>
                      </a:ext>
                    </a:extLst>
                  </pic:spPr>
                </pic:pic>
              </a:graphicData>
            </a:graphic>
          </wp:inline>
        </w:drawing>
      </w:r>
    </w:p>
    <w:p w14:paraId="5A27209C" w14:textId="48F49332" w:rsidR="00995981" w:rsidRDefault="00995981" w:rsidP="00995981">
      <w:pPr>
        <w:pStyle w:val="Caption"/>
      </w:pPr>
      <w:bookmarkStart w:id="5" w:name="_Ref16684255"/>
      <w:r>
        <w:t xml:space="preserve">Figure </w:t>
      </w:r>
      <w:r>
        <w:fldChar w:fldCharType="begin"/>
      </w:r>
      <w:r>
        <w:instrText xml:space="preserve"> SEQ Figure \* ARABIC </w:instrText>
      </w:r>
      <w:r>
        <w:fldChar w:fldCharType="separate"/>
      </w:r>
      <w:r w:rsidR="00A56CB4">
        <w:rPr>
          <w:noProof/>
        </w:rPr>
        <w:t>3</w:t>
      </w:r>
      <w:r>
        <w:fldChar w:fldCharType="end"/>
      </w:r>
      <w:bookmarkEnd w:id="5"/>
      <w:r>
        <w:t xml:space="preserve">. </w:t>
      </w:r>
      <w:r w:rsidRPr="00120064">
        <w:t xml:space="preserve">Weighted RMS spatial correlation error as a function of number of probes in </w:t>
      </w:r>
      <w:r>
        <w:t xml:space="preserve">CDL-C (UMa) 7.125GHz case with five </w:t>
      </w:r>
      <w:r w:rsidRPr="00120064">
        <w:t xml:space="preserve">different </w:t>
      </w:r>
      <w:r>
        <w:t>probe sector widths.</w:t>
      </w:r>
    </w:p>
    <w:p w14:paraId="2A1ADB09" w14:textId="77777777" w:rsidR="0053435C" w:rsidRPr="00FB43EF" w:rsidRDefault="00AF0F4C" w:rsidP="0053435C">
      <w:pPr>
        <w:pStyle w:val="Heading1"/>
        <w:ind w:left="567" w:hanging="567"/>
        <w:rPr>
          <w:lang w:val="en-US"/>
        </w:rPr>
      </w:pPr>
      <w:r w:rsidRPr="00FB43EF">
        <w:rPr>
          <w:lang w:val="en-US"/>
        </w:rPr>
        <w:t>Discussion</w:t>
      </w:r>
    </w:p>
    <w:p w14:paraId="6351C45B" w14:textId="6FE83FFF" w:rsidR="002E62BC" w:rsidRDefault="00E26570" w:rsidP="00E03F11">
      <w:r>
        <w:t xml:space="preserve">The </w:t>
      </w:r>
      <w:r w:rsidR="00162E8E">
        <w:t xml:space="preserve">simulation </w:t>
      </w:r>
      <w:r>
        <w:t>results show that n</w:t>
      </w:r>
      <w:r w:rsidR="00FB43EF">
        <w:t xml:space="preserve">ine or more probes provide a low </w:t>
      </w:r>
      <w:r w:rsidR="009C6E39">
        <w:t xml:space="preserve">weighted RMS </w:t>
      </w:r>
      <w:r w:rsidR="00FB43EF">
        <w:t xml:space="preserve">spatial correlation error </w:t>
      </w:r>
      <w:r w:rsidR="003706CF">
        <w:t xml:space="preserve">of less than 0.1 </w:t>
      </w:r>
      <w:r w:rsidR="00FB43EF">
        <w:t xml:space="preserve">with the sector probe configurations in the case of CDL-C (UMa) at 7.125GHz frequency </w:t>
      </w:r>
      <w:r w:rsidR="000D700E">
        <w:t>(worst case in terms of number of probes)</w:t>
      </w:r>
      <w:r w:rsidR="006B26D3">
        <w:t xml:space="preserve"> for an MPAC system supporting a </w:t>
      </w:r>
      <w:r w:rsidR="00FB43EF">
        <w:t xml:space="preserve">20cm </w:t>
      </w:r>
      <w:r w:rsidR="006B26D3">
        <w:t>test zone size</w:t>
      </w:r>
      <w:r w:rsidR="00FB43EF">
        <w:t xml:space="preserve">. As </w:t>
      </w:r>
      <w:r w:rsidR="00DA345F">
        <w:t xml:space="preserve">this channel model and frequency combination </w:t>
      </w:r>
      <w:r w:rsidR="009379AD">
        <w:t>yields the largest number of probes for an NR FR1 MPAC system</w:t>
      </w:r>
      <w:r w:rsidR="00A53393">
        <w:t>,</w:t>
      </w:r>
      <w:r w:rsidR="00FB43EF">
        <w:t xml:space="preserve"> the mentioned probe number should be </w:t>
      </w:r>
      <w:proofErr w:type="gramStart"/>
      <w:r w:rsidR="00FB43EF">
        <w:t>sufficient</w:t>
      </w:r>
      <w:proofErr w:type="gramEnd"/>
      <w:r w:rsidR="00FB43EF">
        <w:t xml:space="preserve"> also </w:t>
      </w:r>
      <w:r w:rsidR="00EC6BAF">
        <w:t xml:space="preserve">in other channel model and frequency combinations. </w:t>
      </w:r>
      <w:r w:rsidR="00A11293">
        <w:t>A f</w:t>
      </w:r>
      <w:r w:rsidR="00A56675">
        <w:t xml:space="preserve">urther reduction of number of probes needed for the NR FR1 channel </w:t>
      </w:r>
      <w:r w:rsidR="008A3D86">
        <w:t xml:space="preserve">model </w:t>
      </w:r>
      <w:r w:rsidR="00A56675">
        <w:t xml:space="preserve">implementation </w:t>
      </w:r>
      <w:r w:rsidR="008A3D86">
        <w:t xml:space="preserve">can </w:t>
      </w:r>
      <w:r w:rsidR="00492DCD">
        <w:t>and will be investigated next by considering non-uniform spacing</w:t>
      </w:r>
      <w:r w:rsidR="00AC0B22">
        <w:t xml:space="preserve"> of probes within the sector. </w:t>
      </w:r>
    </w:p>
    <w:p w14:paraId="23B1F38D" w14:textId="63C02CB9" w:rsidR="000E1B8C" w:rsidRPr="00D03479" w:rsidRDefault="000E1B8C" w:rsidP="00E03F11">
      <w:pPr>
        <w:rPr>
          <w:b/>
        </w:rPr>
      </w:pPr>
      <w:r w:rsidRPr="00D03479">
        <w:rPr>
          <w:b/>
        </w:rPr>
        <w:t>Proposal: A</w:t>
      </w:r>
      <w:r w:rsidR="007C679A" w:rsidRPr="00D03479">
        <w:rPr>
          <w:b/>
        </w:rPr>
        <w:t xml:space="preserve"> </w:t>
      </w:r>
      <w:r w:rsidR="00B67DC8">
        <w:rPr>
          <w:b/>
        </w:rPr>
        <w:t>maximum</w:t>
      </w:r>
      <w:r w:rsidR="007C679A" w:rsidRPr="00D03479">
        <w:rPr>
          <w:b/>
        </w:rPr>
        <w:t xml:space="preserve"> RMS correlation error limit needs to be </w:t>
      </w:r>
      <w:r w:rsidR="003A2FDD" w:rsidRPr="00D03479">
        <w:rPr>
          <w:b/>
        </w:rPr>
        <w:t xml:space="preserve">agreed to finalize the minimum number of probes. Additionally, it needs to be </w:t>
      </w:r>
      <w:r w:rsidR="005F5A62">
        <w:rPr>
          <w:b/>
        </w:rPr>
        <w:t>determined whether</w:t>
      </w:r>
      <w:r w:rsidR="003A2FDD" w:rsidRPr="00D03479">
        <w:rPr>
          <w:b/>
        </w:rPr>
        <w:t xml:space="preserve"> to consider the weighted </w:t>
      </w:r>
      <w:r w:rsidR="005F5A62">
        <w:rPr>
          <w:b/>
        </w:rPr>
        <w:t>or</w:t>
      </w:r>
      <w:r w:rsidR="003A2FDD" w:rsidRPr="00D03479">
        <w:rPr>
          <w:b/>
        </w:rPr>
        <w:t xml:space="preserve"> </w:t>
      </w:r>
      <w:r w:rsidR="00D03479" w:rsidRPr="00D03479">
        <w:rPr>
          <w:b/>
        </w:rPr>
        <w:t xml:space="preserve">non-weighted RMS correlation error. </w:t>
      </w:r>
    </w:p>
    <w:p w14:paraId="3366C734" w14:textId="199976AA" w:rsidR="00AC0B22" w:rsidRDefault="00AC0B22" w:rsidP="00E03F11">
      <w:r>
        <w:t xml:space="preserve">However, at this point, it can be concluded that 16-probe MPAC systems commonly deployed </w:t>
      </w:r>
      <w:r w:rsidR="0010436E">
        <w:t xml:space="preserve">in test labs </w:t>
      </w:r>
      <w:r>
        <w:t xml:space="preserve">for LTE MIMO OTA for 3GPP MIMO OTA </w:t>
      </w:r>
      <w:r w:rsidR="00922006">
        <w:fldChar w:fldCharType="begin"/>
      </w:r>
      <w:r w:rsidR="00922006">
        <w:instrText xml:space="preserve"> REF _Ref16687509 \n \h </w:instrText>
      </w:r>
      <w:r w:rsidR="00922006">
        <w:fldChar w:fldCharType="separate"/>
      </w:r>
      <w:r w:rsidR="00922006">
        <w:t>[6]</w:t>
      </w:r>
      <w:r w:rsidR="00922006">
        <w:fldChar w:fldCharType="end"/>
      </w:r>
      <w:r w:rsidR="00922006">
        <w:t xml:space="preserve"> </w:t>
      </w:r>
      <w:r>
        <w:t>and CTIA MIMO OTA</w:t>
      </w:r>
      <w:r w:rsidR="00922006">
        <w:t xml:space="preserve"> </w:t>
      </w:r>
      <w:r w:rsidR="00922006">
        <w:fldChar w:fldCharType="begin"/>
      </w:r>
      <w:r w:rsidR="00922006">
        <w:instrText xml:space="preserve"> REF _Ref16687517 \n \h </w:instrText>
      </w:r>
      <w:r w:rsidR="00922006">
        <w:fldChar w:fldCharType="separate"/>
      </w:r>
      <w:r w:rsidR="00922006">
        <w:t>[7]</w:t>
      </w:r>
      <w:r w:rsidR="00922006">
        <w:fldChar w:fldCharType="end"/>
      </w:r>
      <w:r>
        <w:t xml:space="preserve"> </w:t>
      </w:r>
      <w:r w:rsidR="006F630C">
        <w:t>testing (</w:t>
      </w:r>
      <w:r w:rsidR="0010436E">
        <w:t>each test plan limits the number of active probes to 8</w:t>
      </w:r>
      <w:r w:rsidR="00BB133A">
        <w:t>)</w:t>
      </w:r>
      <w:r w:rsidR="00122E2A">
        <w:t xml:space="preserve"> should be applicable for LTE MIMO OTA and NR FR1 MIMO OTA testing</w:t>
      </w:r>
      <w:r w:rsidR="0017630F">
        <w:t xml:space="preserve"> after probe placemen</w:t>
      </w:r>
      <w:r w:rsidR="008A3AD8">
        <w:t>t modifications</w:t>
      </w:r>
      <w:r w:rsidR="00122E2A">
        <w:t>, i.e., 8 un</w:t>
      </w:r>
      <w:r w:rsidR="00C20A7A">
        <w:t xml:space="preserve">iformly placed probes are used for LTE MIMO OTA and a fraction of the 16 probes with </w:t>
      </w:r>
      <w:r w:rsidR="00C70C15">
        <w:t>the 8 probes not used for LTE MIMO OTA placed in a sectored confi</w:t>
      </w:r>
      <w:r w:rsidR="00255440">
        <w:t>guration</w:t>
      </w:r>
      <w:r w:rsidR="00906937">
        <w:t xml:space="preserve"> for NR FR1 MIMO OTA</w:t>
      </w:r>
      <w:r w:rsidR="000F61B3">
        <w:t xml:space="preserve">. This approach has been </w:t>
      </w:r>
      <w:r w:rsidR="00EB7AD9">
        <w:t xml:space="preserve">visualized in </w:t>
      </w:r>
      <w:r w:rsidR="00EB7AD9">
        <w:fldChar w:fldCharType="begin"/>
      </w:r>
      <w:r w:rsidR="00EB7AD9">
        <w:instrText xml:space="preserve"> REF _Ref16690312 \h </w:instrText>
      </w:r>
      <w:r w:rsidR="00EB7AD9">
        <w:fldChar w:fldCharType="separate"/>
      </w:r>
      <w:r w:rsidR="00EB7AD9">
        <w:t xml:space="preserve">Figure </w:t>
      </w:r>
      <w:r w:rsidR="00EB7AD9">
        <w:rPr>
          <w:noProof/>
        </w:rPr>
        <w:t>4</w:t>
      </w:r>
      <w:r w:rsidR="00EB7AD9">
        <w:fldChar w:fldCharType="end"/>
      </w:r>
      <w:r w:rsidR="00210C45">
        <w:t xml:space="preserve"> with the assumption that 8 probes for NR MIMO are </w:t>
      </w:r>
      <w:proofErr w:type="gramStart"/>
      <w:r w:rsidR="00FA1ACD">
        <w:t>sufficient</w:t>
      </w:r>
      <w:proofErr w:type="gramEnd"/>
      <w:r w:rsidR="00EB7AD9">
        <w:t>.</w:t>
      </w:r>
    </w:p>
    <w:p w14:paraId="7C2FBE75" w14:textId="0CDAB2CE" w:rsidR="00A50734" w:rsidRPr="00B71E82" w:rsidRDefault="00A50734" w:rsidP="00E03F11">
      <w:pPr>
        <w:rPr>
          <w:b/>
        </w:rPr>
      </w:pPr>
      <w:r w:rsidRPr="00B71E82">
        <w:rPr>
          <w:b/>
        </w:rPr>
        <w:t>Observation: A 16-probe MPAC systems commonly deployed in test labs for LTE MIMO OTA for 3GPP MIMO OTA and CTIA MIMO OTA testing (each test plan limits the number of active probes to 8) should be applicable for LTE MIMO OTA and NR FR1 MIMO OTA testing after probe placement modifications</w:t>
      </w:r>
    </w:p>
    <w:p w14:paraId="2C826FB5" w14:textId="65CEF8C1" w:rsidR="005F6E0A" w:rsidRDefault="00625C67" w:rsidP="005C304D">
      <w:pPr>
        <w:spacing w:after="0"/>
        <w:jc w:val="center"/>
      </w:pPr>
      <w:r>
        <w:rPr>
          <w:noProof/>
        </w:rPr>
        <w:lastRenderedPageBreak/>
        <w:drawing>
          <wp:inline distT="0" distB="0" distL="0" distR="0" wp14:anchorId="462E6C63" wp14:editId="72262072">
            <wp:extent cx="5486400" cy="30152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015203"/>
                    </a:xfrm>
                    <a:prstGeom prst="rect">
                      <a:avLst/>
                    </a:prstGeom>
                    <a:noFill/>
                  </pic:spPr>
                </pic:pic>
              </a:graphicData>
            </a:graphic>
          </wp:inline>
        </w:drawing>
      </w:r>
    </w:p>
    <w:p w14:paraId="0AEF3E68" w14:textId="6708EE9A" w:rsidR="00A56CB4" w:rsidRDefault="00A56CB4" w:rsidP="005C304D">
      <w:pPr>
        <w:pStyle w:val="Caption"/>
        <w:spacing w:before="0" w:after="0"/>
        <w:jc w:val="center"/>
      </w:pPr>
      <w:bookmarkStart w:id="6" w:name="_Ref16690312"/>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00B86E24">
        <w:t xml:space="preserve">Left: </w:t>
      </w:r>
      <w:r>
        <w:t xml:space="preserve">Common LTE MIMO System Configuration </w:t>
      </w:r>
      <w:r w:rsidR="00B86E24">
        <w:t>wit</w:t>
      </w:r>
      <w:r w:rsidR="00607A46">
        <w:t>h 16 probes (only 8 active probes</w:t>
      </w:r>
      <w:r w:rsidR="00A65E0D">
        <w:t xml:space="preserve">); Right: </w:t>
      </w:r>
      <w:r w:rsidR="005C304D">
        <w:t>Potential d</w:t>
      </w:r>
      <w:r w:rsidR="00A65E0D">
        <w:t xml:space="preserve">ual-purpose LTE and NR FR1 MIMO </w:t>
      </w:r>
      <w:r w:rsidR="005C7CE7">
        <w:t>System Configuration with 16 probes (8 LTE MIMO and 8 NR MIMO probes)</w:t>
      </w:r>
    </w:p>
    <w:bookmarkEnd w:id="2"/>
    <w:p w14:paraId="78790993" w14:textId="77777777" w:rsidR="008B0529" w:rsidRDefault="0053435C" w:rsidP="0053435C">
      <w:pPr>
        <w:pStyle w:val="Heading1"/>
        <w:ind w:left="567" w:hanging="567"/>
      </w:pPr>
      <w:r>
        <w:t>Conclusion</w:t>
      </w:r>
    </w:p>
    <w:p w14:paraId="56714C3B" w14:textId="74CBC25F" w:rsidR="008B0529" w:rsidRDefault="0053435C" w:rsidP="008B0529">
      <w:r>
        <w:t>The following observation w</w:t>
      </w:r>
      <w:r w:rsidR="00B71E82">
        <w:t>as</w:t>
      </w:r>
      <w:r>
        <w:t xml:space="preserve"> made in this contributio</w:t>
      </w:r>
      <w:r w:rsidR="00B71E82">
        <w:t>n:</w:t>
      </w:r>
    </w:p>
    <w:p w14:paraId="01E31C53" w14:textId="06CAA566" w:rsidR="005F5A62" w:rsidRPr="00D03479" w:rsidRDefault="005F5A62" w:rsidP="005F5A62">
      <w:pPr>
        <w:rPr>
          <w:b/>
        </w:rPr>
      </w:pPr>
      <w:r w:rsidRPr="00D03479">
        <w:rPr>
          <w:b/>
        </w:rPr>
        <w:t xml:space="preserve">Proposal: A </w:t>
      </w:r>
      <w:r w:rsidR="00B67DC8">
        <w:rPr>
          <w:b/>
        </w:rPr>
        <w:t>maximum</w:t>
      </w:r>
      <w:bookmarkStart w:id="7" w:name="_GoBack"/>
      <w:bookmarkEnd w:id="7"/>
      <w:r w:rsidRPr="00D03479">
        <w:rPr>
          <w:b/>
        </w:rPr>
        <w:t xml:space="preserve"> RMS correlation error limit needs to be agreed to finalize the minimum number of probes. Additionally, it needs to be </w:t>
      </w:r>
      <w:r>
        <w:rPr>
          <w:b/>
        </w:rPr>
        <w:t>determined whether</w:t>
      </w:r>
      <w:r w:rsidRPr="00D03479">
        <w:rPr>
          <w:b/>
        </w:rPr>
        <w:t xml:space="preserve"> to consider the weighted </w:t>
      </w:r>
      <w:r>
        <w:rPr>
          <w:b/>
        </w:rPr>
        <w:t>or</w:t>
      </w:r>
      <w:r w:rsidRPr="00D03479">
        <w:rPr>
          <w:b/>
        </w:rPr>
        <w:t xml:space="preserve"> non-weighted RMS correlation error. </w:t>
      </w:r>
    </w:p>
    <w:p w14:paraId="3DAFAD02" w14:textId="77777777" w:rsidR="00B71E82" w:rsidRPr="00B71E82" w:rsidRDefault="00B71E82" w:rsidP="00B71E82">
      <w:pPr>
        <w:rPr>
          <w:b/>
        </w:rPr>
      </w:pPr>
      <w:r w:rsidRPr="00B71E82">
        <w:rPr>
          <w:b/>
        </w:rPr>
        <w:t>Observation: A 16-probe MPAC systems commonly deployed in test labs for LTE MIMO OTA for 3GPP MIMO OTA and CTIA MIMO OTA testing (each test plan limits the number of active probes to 8) should be applicable for LTE MIMO OTA and NR FR1 MIMO OTA testing after probe placement modifications</w:t>
      </w:r>
    </w:p>
    <w:p w14:paraId="538648C7" w14:textId="77777777" w:rsidR="00DD1C07" w:rsidRDefault="00DD1C07" w:rsidP="00DD1C07">
      <w:pPr>
        <w:pStyle w:val="Heading1"/>
        <w:ind w:left="567" w:hanging="567"/>
      </w:pPr>
      <w:r>
        <w:t>References</w:t>
      </w:r>
    </w:p>
    <w:p w14:paraId="61A2CFDC" w14:textId="4DBAEACE" w:rsidR="00DB31FB" w:rsidRPr="005B2830" w:rsidRDefault="00DB31FB" w:rsidP="005B2830">
      <w:pPr>
        <w:pStyle w:val="ListParagraph"/>
        <w:numPr>
          <w:ilvl w:val="0"/>
          <w:numId w:val="5"/>
        </w:numPr>
        <w:rPr>
          <w:rFonts w:ascii="Times New Roman" w:eastAsia="Malgun Gothic" w:hAnsi="Times New Roman"/>
          <w:sz w:val="20"/>
          <w:szCs w:val="20"/>
          <w:lang w:val="en-GB"/>
        </w:rPr>
      </w:pPr>
      <w:bookmarkStart w:id="8" w:name="_Ref7773521"/>
      <w:bookmarkStart w:id="9" w:name="_Ref16672762"/>
      <w:r w:rsidRPr="005B2830">
        <w:rPr>
          <w:rFonts w:ascii="Times New Roman" w:eastAsia="Malgun Gothic" w:hAnsi="Times New Roman"/>
          <w:sz w:val="20"/>
          <w:szCs w:val="20"/>
          <w:lang w:val="en-GB"/>
        </w:rPr>
        <w:t>R4-1906829, “On 2D NR FR1 MPAC Implementations”, Keysight Technologies, 3GPP TSG-RAN WG4 Meeting #91</w:t>
      </w:r>
      <w:bookmarkEnd w:id="8"/>
      <w:r w:rsidRPr="005B2830">
        <w:rPr>
          <w:rFonts w:ascii="Times New Roman" w:eastAsia="Malgun Gothic" w:hAnsi="Times New Roman"/>
          <w:sz w:val="20"/>
          <w:szCs w:val="20"/>
          <w:lang w:val="en-GB"/>
        </w:rPr>
        <w:t>, May 2019.</w:t>
      </w:r>
      <w:bookmarkEnd w:id="9"/>
    </w:p>
    <w:p w14:paraId="3E0D1565" w14:textId="26784D96" w:rsidR="008D3F9F" w:rsidRPr="009B3274" w:rsidRDefault="008D3F9F" w:rsidP="008D3F9F">
      <w:pPr>
        <w:pStyle w:val="ListParagraph"/>
        <w:numPr>
          <w:ilvl w:val="0"/>
          <w:numId w:val="5"/>
        </w:numPr>
        <w:tabs>
          <w:tab w:val="left" w:pos="426"/>
        </w:tabs>
        <w:overflowPunct w:val="0"/>
        <w:autoSpaceDE w:val="0"/>
        <w:autoSpaceDN w:val="0"/>
        <w:adjustRightInd w:val="0"/>
        <w:textAlignment w:val="baseline"/>
      </w:pPr>
      <w:bookmarkStart w:id="10" w:name="_Ref16672877"/>
      <w:r w:rsidRPr="005B2830">
        <w:rPr>
          <w:rFonts w:ascii="Times New Roman" w:eastAsia="Malgun Gothic" w:hAnsi="Times New Roman"/>
          <w:sz w:val="20"/>
          <w:szCs w:val="20"/>
          <w:lang w:val="en-GB"/>
        </w:rPr>
        <w:t xml:space="preserve">R4-1906827, “Channel model parameters for UMi and UMa CDL-A and C for FR1”, Keysight Technologies, </w:t>
      </w:r>
      <w:r w:rsidR="00AE3707" w:rsidRPr="00AE3707">
        <w:rPr>
          <w:rFonts w:ascii="Times New Roman" w:eastAsia="Malgun Gothic" w:hAnsi="Times New Roman"/>
          <w:sz w:val="20"/>
          <w:szCs w:val="20"/>
          <w:lang w:val="en-GB"/>
        </w:rPr>
        <w:t>Spirent Communications</w:t>
      </w:r>
      <w:r w:rsidR="00AE3707">
        <w:rPr>
          <w:rFonts w:ascii="Times New Roman" w:eastAsia="Malgun Gothic" w:hAnsi="Times New Roman"/>
          <w:sz w:val="20"/>
          <w:szCs w:val="20"/>
          <w:lang w:val="en-GB"/>
        </w:rPr>
        <w:t xml:space="preserve">, </w:t>
      </w:r>
      <w:r w:rsidRPr="005B2830">
        <w:rPr>
          <w:rFonts w:ascii="Times New Roman" w:eastAsia="Malgun Gothic" w:hAnsi="Times New Roman"/>
          <w:sz w:val="20"/>
          <w:szCs w:val="20"/>
          <w:lang w:val="en-GB"/>
        </w:rPr>
        <w:t>3GPP TSG-RAN WG4 Meeting #91</w:t>
      </w:r>
      <w:r w:rsidR="00E9022E">
        <w:rPr>
          <w:rFonts w:ascii="Times New Roman" w:eastAsia="Malgun Gothic" w:hAnsi="Times New Roman"/>
          <w:sz w:val="20"/>
          <w:szCs w:val="20"/>
          <w:lang w:val="en-GB"/>
        </w:rPr>
        <w:t>, May 2019</w:t>
      </w:r>
      <w:bookmarkEnd w:id="10"/>
    </w:p>
    <w:p w14:paraId="16FAA1CE" w14:textId="537C7D8E" w:rsidR="000547AB" w:rsidRDefault="00DB31FB" w:rsidP="005B2830">
      <w:pPr>
        <w:pStyle w:val="ListParagraph"/>
        <w:numPr>
          <w:ilvl w:val="0"/>
          <w:numId w:val="5"/>
        </w:numPr>
        <w:rPr>
          <w:rFonts w:ascii="Times New Roman" w:eastAsia="Malgun Gothic" w:hAnsi="Times New Roman"/>
          <w:sz w:val="20"/>
          <w:szCs w:val="20"/>
          <w:lang w:val="en-GB"/>
        </w:rPr>
      </w:pPr>
      <w:bookmarkStart w:id="11" w:name="_Ref16672896"/>
      <w:r w:rsidRPr="005B2830">
        <w:rPr>
          <w:rFonts w:ascii="Times New Roman" w:eastAsia="Malgun Gothic" w:hAnsi="Times New Roman"/>
          <w:sz w:val="20"/>
          <w:szCs w:val="20"/>
          <w:lang w:val="en-GB"/>
        </w:rPr>
        <w:t>P. Kyösti, T. Jämsä, and J-P Nuutinen, “Channel Modelling for Multiprobe Over-the-Air MIMO Testing,” International Journal of Antennas and Propagation, vol. 2012, Article ID 615954, 2012.</w:t>
      </w:r>
      <w:bookmarkEnd w:id="11"/>
    </w:p>
    <w:p w14:paraId="69E97FDC" w14:textId="5D0EBA5B" w:rsidR="00F8409B" w:rsidRPr="005B2830" w:rsidRDefault="00E9329D" w:rsidP="005B2830">
      <w:pPr>
        <w:pStyle w:val="ListParagraph"/>
        <w:numPr>
          <w:ilvl w:val="0"/>
          <w:numId w:val="5"/>
        </w:numPr>
        <w:rPr>
          <w:rFonts w:ascii="Times New Roman" w:eastAsia="Malgun Gothic" w:hAnsi="Times New Roman"/>
          <w:sz w:val="20"/>
          <w:szCs w:val="20"/>
          <w:lang w:val="en-GB"/>
        </w:rPr>
      </w:pPr>
      <w:bookmarkStart w:id="12" w:name="_Ref16682368"/>
      <w:r w:rsidRPr="00E9329D">
        <w:rPr>
          <w:rFonts w:ascii="Times New Roman" w:eastAsia="Malgun Gothic" w:hAnsi="Times New Roman"/>
          <w:sz w:val="20"/>
          <w:szCs w:val="20"/>
          <w:lang w:val="en-GB"/>
        </w:rPr>
        <w:t>R4-1906111</w:t>
      </w:r>
      <w:r>
        <w:rPr>
          <w:rFonts w:ascii="Times New Roman" w:eastAsia="Malgun Gothic" w:hAnsi="Times New Roman"/>
          <w:sz w:val="20"/>
          <w:szCs w:val="20"/>
          <w:lang w:val="en-GB"/>
        </w:rPr>
        <w:t xml:space="preserve">, </w:t>
      </w:r>
      <w:r w:rsidR="00F8409B" w:rsidRPr="00F8409B">
        <w:rPr>
          <w:rFonts w:ascii="Times New Roman" w:eastAsia="Malgun Gothic" w:hAnsi="Times New Roman"/>
          <w:sz w:val="20"/>
          <w:szCs w:val="20"/>
          <w:lang w:val="en-GB"/>
        </w:rPr>
        <w:t>WF on NR MIMO OTA</w:t>
      </w:r>
      <w:r>
        <w:rPr>
          <w:rFonts w:ascii="Times New Roman" w:eastAsia="Malgun Gothic" w:hAnsi="Times New Roman"/>
          <w:sz w:val="20"/>
          <w:szCs w:val="20"/>
          <w:lang w:val="en-GB"/>
        </w:rPr>
        <w:t xml:space="preserve">, </w:t>
      </w:r>
      <w:r w:rsidRPr="00E9329D">
        <w:rPr>
          <w:rFonts w:ascii="Times New Roman" w:eastAsia="Malgun Gothic" w:hAnsi="Times New Roman"/>
          <w:sz w:val="20"/>
          <w:szCs w:val="20"/>
          <w:lang w:val="en-GB"/>
        </w:rPr>
        <w:t>CAICT, Spirent, vivo, Apple, SGS</w:t>
      </w:r>
      <w:r>
        <w:rPr>
          <w:rFonts w:ascii="Times New Roman" w:eastAsia="Malgun Gothic" w:hAnsi="Times New Roman"/>
          <w:sz w:val="20"/>
          <w:szCs w:val="20"/>
          <w:lang w:val="en-GB"/>
        </w:rPr>
        <w:t xml:space="preserve">, </w:t>
      </w:r>
      <w:r w:rsidRPr="00E9329D">
        <w:rPr>
          <w:rFonts w:ascii="Times New Roman" w:eastAsia="Malgun Gothic" w:hAnsi="Times New Roman"/>
          <w:sz w:val="20"/>
          <w:szCs w:val="20"/>
          <w:lang w:val="en-GB"/>
        </w:rPr>
        <w:t>3GPP TSG-RAN WG4 Meeting #91, May 2019</w:t>
      </w:r>
      <w:bookmarkEnd w:id="12"/>
    </w:p>
    <w:p w14:paraId="281E14B5" w14:textId="2FBB1BBA" w:rsidR="009B3274" w:rsidRDefault="009B3274" w:rsidP="00037FD7">
      <w:pPr>
        <w:pStyle w:val="ListParagraph"/>
        <w:numPr>
          <w:ilvl w:val="0"/>
          <w:numId w:val="5"/>
        </w:numPr>
        <w:rPr>
          <w:rFonts w:ascii="Times New Roman" w:eastAsia="Malgun Gothic" w:hAnsi="Times New Roman"/>
          <w:sz w:val="20"/>
          <w:szCs w:val="20"/>
          <w:lang w:val="en-GB"/>
        </w:rPr>
      </w:pPr>
      <w:bookmarkStart w:id="13" w:name="_Ref16672928"/>
      <w:r w:rsidRPr="008D3F9F">
        <w:rPr>
          <w:rFonts w:ascii="Times New Roman" w:eastAsia="Malgun Gothic" w:hAnsi="Times New Roman"/>
          <w:sz w:val="20"/>
          <w:szCs w:val="20"/>
          <w:lang w:val="en-GB"/>
        </w:rPr>
        <w:t>R4-1815933 “Way Forward on NR MIMO OTA”, CAICT, Spirent, Keysight Technologies, Qualcomm, ETS-Lindgren, MVG, 3GPP TSG-RAN WG4 Meeting #89, Spokane, USA, November 2018</w:t>
      </w:r>
      <w:bookmarkEnd w:id="13"/>
      <w:r w:rsidR="008D3F9F" w:rsidRPr="008D3F9F">
        <w:rPr>
          <w:rFonts w:ascii="Times New Roman" w:eastAsia="Malgun Gothic" w:hAnsi="Times New Roman"/>
          <w:sz w:val="20"/>
          <w:szCs w:val="20"/>
          <w:lang w:val="en-GB"/>
        </w:rPr>
        <w:t>.</w:t>
      </w:r>
    </w:p>
    <w:p w14:paraId="382385DD" w14:textId="4C7DA949" w:rsidR="0074676D" w:rsidRDefault="00BE554D" w:rsidP="00037FD7">
      <w:pPr>
        <w:pStyle w:val="ListParagraph"/>
        <w:numPr>
          <w:ilvl w:val="0"/>
          <w:numId w:val="5"/>
        </w:numPr>
        <w:rPr>
          <w:rFonts w:ascii="Times New Roman" w:eastAsia="Malgun Gothic" w:hAnsi="Times New Roman"/>
          <w:sz w:val="20"/>
          <w:szCs w:val="20"/>
          <w:lang w:val="en-GB"/>
        </w:rPr>
      </w:pPr>
      <w:bookmarkStart w:id="14" w:name="_Ref16687509"/>
      <w:r>
        <w:rPr>
          <w:rFonts w:ascii="Times New Roman" w:eastAsia="Malgun Gothic" w:hAnsi="Times New Roman"/>
          <w:sz w:val="20"/>
          <w:szCs w:val="20"/>
          <w:lang w:val="en-GB"/>
        </w:rPr>
        <w:t xml:space="preserve">3GPP </w:t>
      </w:r>
      <w:r w:rsidRPr="00BE554D">
        <w:rPr>
          <w:rFonts w:ascii="Times New Roman" w:eastAsia="Malgun Gothic" w:hAnsi="Times New Roman"/>
          <w:sz w:val="20"/>
          <w:szCs w:val="20"/>
          <w:lang w:val="en-GB"/>
        </w:rPr>
        <w:t>TR 37.977</w:t>
      </w:r>
      <w:r>
        <w:rPr>
          <w:rFonts w:ascii="Times New Roman" w:eastAsia="Malgun Gothic" w:hAnsi="Times New Roman"/>
          <w:sz w:val="20"/>
          <w:szCs w:val="20"/>
          <w:lang w:val="en-GB"/>
        </w:rPr>
        <w:t xml:space="preserve">, </w:t>
      </w:r>
      <w:r w:rsidRPr="00BE554D">
        <w:rPr>
          <w:rFonts w:ascii="Times New Roman" w:eastAsia="Malgun Gothic" w:hAnsi="Times New Roman"/>
          <w:sz w:val="20"/>
          <w:szCs w:val="20"/>
          <w:lang w:val="en-GB"/>
        </w:rPr>
        <w:t>Universal Terrestrial Radio Access (UTRA) and Evolved Universal Terrestrial Radio Access (E-UTRA); Verification of radiated multi-antenna reception performance of User Equipment (UE)</w:t>
      </w:r>
      <w:bookmarkEnd w:id="14"/>
    </w:p>
    <w:p w14:paraId="0BD43CD9" w14:textId="0E063840" w:rsidR="00BE554D" w:rsidRPr="008D3F9F" w:rsidRDefault="00922006" w:rsidP="00037FD7">
      <w:pPr>
        <w:pStyle w:val="ListParagraph"/>
        <w:numPr>
          <w:ilvl w:val="0"/>
          <w:numId w:val="5"/>
        </w:numPr>
        <w:rPr>
          <w:rFonts w:ascii="Times New Roman" w:eastAsia="Malgun Gothic" w:hAnsi="Times New Roman"/>
          <w:sz w:val="20"/>
          <w:szCs w:val="20"/>
          <w:lang w:val="en-GB"/>
        </w:rPr>
      </w:pPr>
      <w:bookmarkStart w:id="15" w:name="_Ref16687517"/>
      <w:r>
        <w:rPr>
          <w:rFonts w:ascii="Times New Roman" w:eastAsia="Malgun Gothic" w:hAnsi="Times New Roman"/>
          <w:sz w:val="20"/>
          <w:szCs w:val="20"/>
          <w:lang w:val="en-GB"/>
        </w:rPr>
        <w:t xml:space="preserve">CTIA, </w:t>
      </w:r>
      <w:r w:rsidRPr="00922006">
        <w:rPr>
          <w:rFonts w:ascii="Times New Roman" w:eastAsia="Malgun Gothic" w:hAnsi="Times New Roman"/>
          <w:sz w:val="20"/>
          <w:szCs w:val="20"/>
          <w:lang w:val="en-GB"/>
        </w:rPr>
        <w:t>Test Plan for 2x2 Downlink MIMO and Transmit Diversity Over-the-Air Performance</w:t>
      </w:r>
      <w:r>
        <w:rPr>
          <w:rFonts w:ascii="Times New Roman" w:eastAsia="Malgun Gothic" w:hAnsi="Times New Roman"/>
          <w:sz w:val="20"/>
          <w:szCs w:val="20"/>
          <w:lang w:val="en-GB"/>
        </w:rPr>
        <w:t>, Version 1.2, April 2018</w:t>
      </w:r>
      <w:bookmarkEnd w:id="15"/>
    </w:p>
    <w:sectPr w:rsidR="00BE554D" w:rsidRPr="008D3F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AC36E" w14:textId="77777777" w:rsidR="009C3D3A" w:rsidRDefault="009C3D3A">
      <w:r>
        <w:separator/>
      </w:r>
    </w:p>
  </w:endnote>
  <w:endnote w:type="continuationSeparator" w:id="0">
    <w:p w14:paraId="5DEF8608" w14:textId="77777777" w:rsidR="009C3D3A" w:rsidRDefault="009C3D3A">
      <w:r>
        <w:continuationSeparator/>
      </w:r>
    </w:p>
  </w:endnote>
  <w:endnote w:type="continuationNotice" w:id="1">
    <w:p w14:paraId="165A7F71" w14:textId="77777777" w:rsidR="009C3D3A" w:rsidRDefault="009C3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71CBC" w14:textId="77777777" w:rsidR="009C3D3A" w:rsidRDefault="009C3D3A">
      <w:r>
        <w:separator/>
      </w:r>
    </w:p>
  </w:footnote>
  <w:footnote w:type="continuationSeparator" w:id="0">
    <w:p w14:paraId="4490024B" w14:textId="77777777" w:rsidR="009C3D3A" w:rsidRDefault="009C3D3A">
      <w:r>
        <w:continuationSeparator/>
      </w:r>
    </w:p>
  </w:footnote>
  <w:footnote w:type="continuationNotice" w:id="1">
    <w:p w14:paraId="29225D8C" w14:textId="77777777" w:rsidR="009C3D3A" w:rsidRDefault="009C3D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5ED9"/>
    <w:rsid w:val="00036AF0"/>
    <w:rsid w:val="000379D6"/>
    <w:rsid w:val="000439E6"/>
    <w:rsid w:val="0004477C"/>
    <w:rsid w:val="0004529E"/>
    <w:rsid w:val="0004678D"/>
    <w:rsid w:val="00052390"/>
    <w:rsid w:val="00053BCD"/>
    <w:rsid w:val="000547AB"/>
    <w:rsid w:val="0005509D"/>
    <w:rsid w:val="00055873"/>
    <w:rsid w:val="00056560"/>
    <w:rsid w:val="0005725C"/>
    <w:rsid w:val="000606FD"/>
    <w:rsid w:val="00064500"/>
    <w:rsid w:val="00077333"/>
    <w:rsid w:val="00082566"/>
    <w:rsid w:val="00083540"/>
    <w:rsid w:val="00084983"/>
    <w:rsid w:val="00086404"/>
    <w:rsid w:val="00087F53"/>
    <w:rsid w:val="00093E7E"/>
    <w:rsid w:val="00096EE4"/>
    <w:rsid w:val="000A12C7"/>
    <w:rsid w:val="000A2A86"/>
    <w:rsid w:val="000A43B4"/>
    <w:rsid w:val="000B25D3"/>
    <w:rsid w:val="000C2440"/>
    <w:rsid w:val="000C3463"/>
    <w:rsid w:val="000C640F"/>
    <w:rsid w:val="000D39C6"/>
    <w:rsid w:val="000D6B69"/>
    <w:rsid w:val="000D6CFC"/>
    <w:rsid w:val="000D700E"/>
    <w:rsid w:val="000E1B8C"/>
    <w:rsid w:val="000E24A4"/>
    <w:rsid w:val="000E2AC4"/>
    <w:rsid w:val="000F2A8C"/>
    <w:rsid w:val="000F61B3"/>
    <w:rsid w:val="0010436E"/>
    <w:rsid w:val="001051C8"/>
    <w:rsid w:val="00107804"/>
    <w:rsid w:val="00114DB9"/>
    <w:rsid w:val="001174D8"/>
    <w:rsid w:val="00120064"/>
    <w:rsid w:val="00121323"/>
    <w:rsid w:val="00122845"/>
    <w:rsid w:val="00122E2A"/>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2E8E"/>
    <w:rsid w:val="00166A36"/>
    <w:rsid w:val="001741AE"/>
    <w:rsid w:val="001758FB"/>
    <w:rsid w:val="0017630F"/>
    <w:rsid w:val="00186EFD"/>
    <w:rsid w:val="00196F9F"/>
    <w:rsid w:val="001A08AA"/>
    <w:rsid w:val="001A17A5"/>
    <w:rsid w:val="001A2BC5"/>
    <w:rsid w:val="001A2EF9"/>
    <w:rsid w:val="001A3120"/>
    <w:rsid w:val="001A3BFA"/>
    <w:rsid w:val="001B2108"/>
    <w:rsid w:val="001B231F"/>
    <w:rsid w:val="001B4683"/>
    <w:rsid w:val="001B6A72"/>
    <w:rsid w:val="001C00AA"/>
    <w:rsid w:val="001C0CFD"/>
    <w:rsid w:val="001C3A35"/>
    <w:rsid w:val="001C3CCB"/>
    <w:rsid w:val="001C4A15"/>
    <w:rsid w:val="001C687E"/>
    <w:rsid w:val="001D06B8"/>
    <w:rsid w:val="001D7D91"/>
    <w:rsid w:val="001D7F4A"/>
    <w:rsid w:val="001E1CF6"/>
    <w:rsid w:val="001E4636"/>
    <w:rsid w:val="001E6DC6"/>
    <w:rsid w:val="001F5795"/>
    <w:rsid w:val="001F706B"/>
    <w:rsid w:val="00200996"/>
    <w:rsid w:val="0020314E"/>
    <w:rsid w:val="00204999"/>
    <w:rsid w:val="00206FE6"/>
    <w:rsid w:val="0020758D"/>
    <w:rsid w:val="00207AD7"/>
    <w:rsid w:val="00210C45"/>
    <w:rsid w:val="00210D55"/>
    <w:rsid w:val="0021155C"/>
    <w:rsid w:val="00212373"/>
    <w:rsid w:val="002138EA"/>
    <w:rsid w:val="00214FBD"/>
    <w:rsid w:val="002211B2"/>
    <w:rsid w:val="002223E7"/>
    <w:rsid w:val="00222897"/>
    <w:rsid w:val="0022419C"/>
    <w:rsid w:val="00234D1C"/>
    <w:rsid w:val="00235394"/>
    <w:rsid w:val="00235813"/>
    <w:rsid w:val="00236683"/>
    <w:rsid w:val="0023752C"/>
    <w:rsid w:val="00241A14"/>
    <w:rsid w:val="0025114C"/>
    <w:rsid w:val="00251340"/>
    <w:rsid w:val="00252AEA"/>
    <w:rsid w:val="00254246"/>
    <w:rsid w:val="00255440"/>
    <w:rsid w:val="00255905"/>
    <w:rsid w:val="0026179F"/>
    <w:rsid w:val="00262600"/>
    <w:rsid w:val="00262604"/>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08D4"/>
    <w:rsid w:val="002A4112"/>
    <w:rsid w:val="002A58C5"/>
    <w:rsid w:val="002A7017"/>
    <w:rsid w:val="002A7F4B"/>
    <w:rsid w:val="002B0453"/>
    <w:rsid w:val="002B11F7"/>
    <w:rsid w:val="002B3F06"/>
    <w:rsid w:val="002B4D62"/>
    <w:rsid w:val="002C1E1B"/>
    <w:rsid w:val="002C2040"/>
    <w:rsid w:val="002C3709"/>
    <w:rsid w:val="002C7D13"/>
    <w:rsid w:val="002D0D61"/>
    <w:rsid w:val="002D44BD"/>
    <w:rsid w:val="002D69EF"/>
    <w:rsid w:val="002E465A"/>
    <w:rsid w:val="002E47F7"/>
    <w:rsid w:val="002E5F31"/>
    <w:rsid w:val="002E62BC"/>
    <w:rsid w:val="002F4093"/>
    <w:rsid w:val="002F5FAD"/>
    <w:rsid w:val="00300544"/>
    <w:rsid w:val="00306D8E"/>
    <w:rsid w:val="00307D2C"/>
    <w:rsid w:val="00313528"/>
    <w:rsid w:val="003209E5"/>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06CF"/>
    <w:rsid w:val="00372296"/>
    <w:rsid w:val="00373148"/>
    <w:rsid w:val="00374836"/>
    <w:rsid w:val="00376160"/>
    <w:rsid w:val="00380C5B"/>
    <w:rsid w:val="00380F33"/>
    <w:rsid w:val="00381C22"/>
    <w:rsid w:val="003834B0"/>
    <w:rsid w:val="00384387"/>
    <w:rsid w:val="003907E3"/>
    <w:rsid w:val="0039361E"/>
    <w:rsid w:val="0039509E"/>
    <w:rsid w:val="00396C3A"/>
    <w:rsid w:val="00397CC0"/>
    <w:rsid w:val="003A1A50"/>
    <w:rsid w:val="003A1E08"/>
    <w:rsid w:val="003A2FDD"/>
    <w:rsid w:val="003B1087"/>
    <w:rsid w:val="003B1AA0"/>
    <w:rsid w:val="003B478A"/>
    <w:rsid w:val="003B5AB0"/>
    <w:rsid w:val="003C4291"/>
    <w:rsid w:val="003C47CE"/>
    <w:rsid w:val="003D0C73"/>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1FE4"/>
    <w:rsid w:val="00413C3E"/>
    <w:rsid w:val="00413C6C"/>
    <w:rsid w:val="0041477A"/>
    <w:rsid w:val="00417068"/>
    <w:rsid w:val="0041723C"/>
    <w:rsid w:val="004204BB"/>
    <w:rsid w:val="00420AD5"/>
    <w:rsid w:val="00426356"/>
    <w:rsid w:val="00427B4E"/>
    <w:rsid w:val="00431287"/>
    <w:rsid w:val="004420B4"/>
    <w:rsid w:val="00444225"/>
    <w:rsid w:val="00456C09"/>
    <w:rsid w:val="0046266D"/>
    <w:rsid w:val="00466E59"/>
    <w:rsid w:val="004701D2"/>
    <w:rsid w:val="00470E49"/>
    <w:rsid w:val="00471B36"/>
    <w:rsid w:val="00473D9D"/>
    <w:rsid w:val="00474556"/>
    <w:rsid w:val="00474FBC"/>
    <w:rsid w:val="00476D28"/>
    <w:rsid w:val="00482CB3"/>
    <w:rsid w:val="004835B4"/>
    <w:rsid w:val="00484D33"/>
    <w:rsid w:val="00485FCA"/>
    <w:rsid w:val="00490F98"/>
    <w:rsid w:val="00490FAF"/>
    <w:rsid w:val="00491FA6"/>
    <w:rsid w:val="00492DCD"/>
    <w:rsid w:val="00495A33"/>
    <w:rsid w:val="004A07A1"/>
    <w:rsid w:val="004A17C7"/>
    <w:rsid w:val="004A419F"/>
    <w:rsid w:val="004A42B6"/>
    <w:rsid w:val="004A6B36"/>
    <w:rsid w:val="004B27EC"/>
    <w:rsid w:val="004B5F7B"/>
    <w:rsid w:val="004C2A16"/>
    <w:rsid w:val="004C3BC2"/>
    <w:rsid w:val="004D0FD5"/>
    <w:rsid w:val="004D370F"/>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56487"/>
    <w:rsid w:val="005603F5"/>
    <w:rsid w:val="005649A1"/>
    <w:rsid w:val="00564B22"/>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0682"/>
    <w:rsid w:val="005B2830"/>
    <w:rsid w:val="005C239F"/>
    <w:rsid w:val="005C304D"/>
    <w:rsid w:val="005C331B"/>
    <w:rsid w:val="005C4593"/>
    <w:rsid w:val="005C46C0"/>
    <w:rsid w:val="005C7CE7"/>
    <w:rsid w:val="005E12CD"/>
    <w:rsid w:val="005E2985"/>
    <w:rsid w:val="005E488A"/>
    <w:rsid w:val="005E490B"/>
    <w:rsid w:val="005E5D66"/>
    <w:rsid w:val="005F3B1B"/>
    <w:rsid w:val="005F5A62"/>
    <w:rsid w:val="005F6E0A"/>
    <w:rsid w:val="00602EC7"/>
    <w:rsid w:val="00607A46"/>
    <w:rsid w:val="00607D98"/>
    <w:rsid w:val="0061059A"/>
    <w:rsid w:val="006126CA"/>
    <w:rsid w:val="006131BB"/>
    <w:rsid w:val="00613B1E"/>
    <w:rsid w:val="00616FB0"/>
    <w:rsid w:val="006210C4"/>
    <w:rsid w:val="00622B32"/>
    <w:rsid w:val="00625C67"/>
    <w:rsid w:val="006309D4"/>
    <w:rsid w:val="00634928"/>
    <w:rsid w:val="00635671"/>
    <w:rsid w:val="00636ABD"/>
    <w:rsid w:val="006418EB"/>
    <w:rsid w:val="00645857"/>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26D3"/>
    <w:rsid w:val="006B363D"/>
    <w:rsid w:val="006B39EF"/>
    <w:rsid w:val="006C3A94"/>
    <w:rsid w:val="006D132D"/>
    <w:rsid w:val="006D51DD"/>
    <w:rsid w:val="006D6B1F"/>
    <w:rsid w:val="006E45D9"/>
    <w:rsid w:val="006F050D"/>
    <w:rsid w:val="006F0D5F"/>
    <w:rsid w:val="006F1DCF"/>
    <w:rsid w:val="006F4830"/>
    <w:rsid w:val="006F4A1A"/>
    <w:rsid w:val="006F5431"/>
    <w:rsid w:val="006F5C22"/>
    <w:rsid w:val="006F630C"/>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3AC4"/>
    <w:rsid w:val="00744CC1"/>
    <w:rsid w:val="0074650E"/>
    <w:rsid w:val="0074676D"/>
    <w:rsid w:val="00747AD4"/>
    <w:rsid w:val="00752FA3"/>
    <w:rsid w:val="00765A8F"/>
    <w:rsid w:val="00770A12"/>
    <w:rsid w:val="00774B17"/>
    <w:rsid w:val="007756A1"/>
    <w:rsid w:val="0078088D"/>
    <w:rsid w:val="00785759"/>
    <w:rsid w:val="00785D03"/>
    <w:rsid w:val="007927CF"/>
    <w:rsid w:val="00797994"/>
    <w:rsid w:val="007A0519"/>
    <w:rsid w:val="007A2502"/>
    <w:rsid w:val="007A4551"/>
    <w:rsid w:val="007A4F68"/>
    <w:rsid w:val="007A5139"/>
    <w:rsid w:val="007A5243"/>
    <w:rsid w:val="007A6059"/>
    <w:rsid w:val="007B03C6"/>
    <w:rsid w:val="007B0584"/>
    <w:rsid w:val="007B5856"/>
    <w:rsid w:val="007B6FFB"/>
    <w:rsid w:val="007C39B0"/>
    <w:rsid w:val="007C679A"/>
    <w:rsid w:val="007C6DD8"/>
    <w:rsid w:val="007D0054"/>
    <w:rsid w:val="007D258B"/>
    <w:rsid w:val="007D36D3"/>
    <w:rsid w:val="007D3BE3"/>
    <w:rsid w:val="007D6048"/>
    <w:rsid w:val="007D7B6B"/>
    <w:rsid w:val="007E2E0D"/>
    <w:rsid w:val="007E7938"/>
    <w:rsid w:val="007E7C3C"/>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207E"/>
    <w:rsid w:val="008450F8"/>
    <w:rsid w:val="00845E55"/>
    <w:rsid w:val="00846391"/>
    <w:rsid w:val="008541B3"/>
    <w:rsid w:val="008602F7"/>
    <w:rsid w:val="00861C5F"/>
    <w:rsid w:val="008626D8"/>
    <w:rsid w:val="00864950"/>
    <w:rsid w:val="00870861"/>
    <w:rsid w:val="00884BE6"/>
    <w:rsid w:val="0088503C"/>
    <w:rsid w:val="00885D92"/>
    <w:rsid w:val="00892723"/>
    <w:rsid w:val="00893417"/>
    <w:rsid w:val="00893454"/>
    <w:rsid w:val="00895D05"/>
    <w:rsid w:val="00897A25"/>
    <w:rsid w:val="008A0A78"/>
    <w:rsid w:val="008A1A84"/>
    <w:rsid w:val="008A3AD8"/>
    <w:rsid w:val="008A3D86"/>
    <w:rsid w:val="008A6143"/>
    <w:rsid w:val="008B0529"/>
    <w:rsid w:val="008B5C74"/>
    <w:rsid w:val="008C2308"/>
    <w:rsid w:val="008C60E9"/>
    <w:rsid w:val="008C7836"/>
    <w:rsid w:val="008D3F9F"/>
    <w:rsid w:val="008D7BED"/>
    <w:rsid w:val="008E2779"/>
    <w:rsid w:val="008E4413"/>
    <w:rsid w:val="008E4684"/>
    <w:rsid w:val="008E4F84"/>
    <w:rsid w:val="008F08D9"/>
    <w:rsid w:val="008F1346"/>
    <w:rsid w:val="008F540C"/>
    <w:rsid w:val="008F7D93"/>
    <w:rsid w:val="0090512F"/>
    <w:rsid w:val="0090524D"/>
    <w:rsid w:val="009064E9"/>
    <w:rsid w:val="00906937"/>
    <w:rsid w:val="009076E4"/>
    <w:rsid w:val="00911B1A"/>
    <w:rsid w:val="00916F35"/>
    <w:rsid w:val="00922006"/>
    <w:rsid w:val="00925B2A"/>
    <w:rsid w:val="00931702"/>
    <w:rsid w:val="00931918"/>
    <w:rsid w:val="00932F29"/>
    <w:rsid w:val="009358AA"/>
    <w:rsid w:val="009379AD"/>
    <w:rsid w:val="00937FBD"/>
    <w:rsid w:val="00945858"/>
    <w:rsid w:val="009514EA"/>
    <w:rsid w:val="00951CC5"/>
    <w:rsid w:val="00952F41"/>
    <w:rsid w:val="0095378B"/>
    <w:rsid w:val="0095392E"/>
    <w:rsid w:val="00957EF1"/>
    <w:rsid w:val="00964105"/>
    <w:rsid w:val="0096677A"/>
    <w:rsid w:val="00966E74"/>
    <w:rsid w:val="00970A06"/>
    <w:rsid w:val="0097133C"/>
    <w:rsid w:val="00972528"/>
    <w:rsid w:val="0097539D"/>
    <w:rsid w:val="009767AC"/>
    <w:rsid w:val="00980E79"/>
    <w:rsid w:val="00982B7E"/>
    <w:rsid w:val="00983910"/>
    <w:rsid w:val="00984E5F"/>
    <w:rsid w:val="00986D7D"/>
    <w:rsid w:val="009913F6"/>
    <w:rsid w:val="00992B5F"/>
    <w:rsid w:val="00995981"/>
    <w:rsid w:val="00997D88"/>
    <w:rsid w:val="009B3274"/>
    <w:rsid w:val="009C0727"/>
    <w:rsid w:val="009C11C9"/>
    <w:rsid w:val="009C3D3A"/>
    <w:rsid w:val="009C6214"/>
    <w:rsid w:val="009C6E39"/>
    <w:rsid w:val="009D28E0"/>
    <w:rsid w:val="009D78C2"/>
    <w:rsid w:val="009D7F67"/>
    <w:rsid w:val="009E186C"/>
    <w:rsid w:val="009E3840"/>
    <w:rsid w:val="009E41C5"/>
    <w:rsid w:val="009E448E"/>
    <w:rsid w:val="009E520A"/>
    <w:rsid w:val="009E7AFD"/>
    <w:rsid w:val="009F20D3"/>
    <w:rsid w:val="00A079A7"/>
    <w:rsid w:val="00A11293"/>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0734"/>
    <w:rsid w:val="00A515A6"/>
    <w:rsid w:val="00A51F25"/>
    <w:rsid w:val="00A53393"/>
    <w:rsid w:val="00A56613"/>
    <w:rsid w:val="00A56675"/>
    <w:rsid w:val="00A56CB4"/>
    <w:rsid w:val="00A57698"/>
    <w:rsid w:val="00A60D06"/>
    <w:rsid w:val="00A61E17"/>
    <w:rsid w:val="00A65439"/>
    <w:rsid w:val="00A65E0D"/>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0B22"/>
    <w:rsid w:val="00AC5D4F"/>
    <w:rsid w:val="00AC6E03"/>
    <w:rsid w:val="00AD17B1"/>
    <w:rsid w:val="00AD4B9B"/>
    <w:rsid w:val="00AD768A"/>
    <w:rsid w:val="00AE116C"/>
    <w:rsid w:val="00AE342A"/>
    <w:rsid w:val="00AE3707"/>
    <w:rsid w:val="00AE627B"/>
    <w:rsid w:val="00AE6EAF"/>
    <w:rsid w:val="00AF0F4C"/>
    <w:rsid w:val="00AF2C3F"/>
    <w:rsid w:val="00AF3407"/>
    <w:rsid w:val="00AF5AD3"/>
    <w:rsid w:val="00B0589A"/>
    <w:rsid w:val="00B12562"/>
    <w:rsid w:val="00B14BC8"/>
    <w:rsid w:val="00B20C57"/>
    <w:rsid w:val="00B21D87"/>
    <w:rsid w:val="00B22ADA"/>
    <w:rsid w:val="00B24E76"/>
    <w:rsid w:val="00B321B2"/>
    <w:rsid w:val="00B334B9"/>
    <w:rsid w:val="00B35E66"/>
    <w:rsid w:val="00B36208"/>
    <w:rsid w:val="00B3769C"/>
    <w:rsid w:val="00B40D30"/>
    <w:rsid w:val="00B426E8"/>
    <w:rsid w:val="00B42B91"/>
    <w:rsid w:val="00B478AC"/>
    <w:rsid w:val="00B55D9A"/>
    <w:rsid w:val="00B5661F"/>
    <w:rsid w:val="00B6099D"/>
    <w:rsid w:val="00B62514"/>
    <w:rsid w:val="00B65101"/>
    <w:rsid w:val="00B67DC8"/>
    <w:rsid w:val="00B71E82"/>
    <w:rsid w:val="00B729BF"/>
    <w:rsid w:val="00B7370C"/>
    <w:rsid w:val="00B73955"/>
    <w:rsid w:val="00B7415D"/>
    <w:rsid w:val="00B75741"/>
    <w:rsid w:val="00B822A0"/>
    <w:rsid w:val="00B8446C"/>
    <w:rsid w:val="00B8530C"/>
    <w:rsid w:val="00B86E24"/>
    <w:rsid w:val="00B92920"/>
    <w:rsid w:val="00B93A4D"/>
    <w:rsid w:val="00B943D6"/>
    <w:rsid w:val="00BA0D2D"/>
    <w:rsid w:val="00BA47FD"/>
    <w:rsid w:val="00BA5EFD"/>
    <w:rsid w:val="00BB133A"/>
    <w:rsid w:val="00BB2B4D"/>
    <w:rsid w:val="00BB4346"/>
    <w:rsid w:val="00BB43B8"/>
    <w:rsid w:val="00BB53AC"/>
    <w:rsid w:val="00BB7338"/>
    <w:rsid w:val="00BC2D24"/>
    <w:rsid w:val="00BC577A"/>
    <w:rsid w:val="00BD0905"/>
    <w:rsid w:val="00BD455F"/>
    <w:rsid w:val="00BD707B"/>
    <w:rsid w:val="00BE0187"/>
    <w:rsid w:val="00BE1212"/>
    <w:rsid w:val="00BE1A05"/>
    <w:rsid w:val="00BE3D23"/>
    <w:rsid w:val="00BE554D"/>
    <w:rsid w:val="00BE5CA5"/>
    <w:rsid w:val="00BE5CB9"/>
    <w:rsid w:val="00BE5CE8"/>
    <w:rsid w:val="00BF5875"/>
    <w:rsid w:val="00C01AD5"/>
    <w:rsid w:val="00C01D4A"/>
    <w:rsid w:val="00C050BC"/>
    <w:rsid w:val="00C050CF"/>
    <w:rsid w:val="00C06487"/>
    <w:rsid w:val="00C065DE"/>
    <w:rsid w:val="00C1494B"/>
    <w:rsid w:val="00C14DE6"/>
    <w:rsid w:val="00C15AC6"/>
    <w:rsid w:val="00C16052"/>
    <w:rsid w:val="00C1643C"/>
    <w:rsid w:val="00C209B5"/>
    <w:rsid w:val="00C20A7A"/>
    <w:rsid w:val="00C26EE8"/>
    <w:rsid w:val="00C313B8"/>
    <w:rsid w:val="00C31D69"/>
    <w:rsid w:val="00C401B8"/>
    <w:rsid w:val="00C42F12"/>
    <w:rsid w:val="00C451D8"/>
    <w:rsid w:val="00C475DA"/>
    <w:rsid w:val="00C56792"/>
    <w:rsid w:val="00C6278C"/>
    <w:rsid w:val="00C63AA2"/>
    <w:rsid w:val="00C65422"/>
    <w:rsid w:val="00C6599B"/>
    <w:rsid w:val="00C669BE"/>
    <w:rsid w:val="00C70C15"/>
    <w:rsid w:val="00C76F04"/>
    <w:rsid w:val="00C804C3"/>
    <w:rsid w:val="00C807DB"/>
    <w:rsid w:val="00C81268"/>
    <w:rsid w:val="00C83771"/>
    <w:rsid w:val="00C861D6"/>
    <w:rsid w:val="00C87851"/>
    <w:rsid w:val="00C90C1E"/>
    <w:rsid w:val="00C93744"/>
    <w:rsid w:val="00C958F3"/>
    <w:rsid w:val="00CA3A27"/>
    <w:rsid w:val="00CA517A"/>
    <w:rsid w:val="00CB0C39"/>
    <w:rsid w:val="00CB0D58"/>
    <w:rsid w:val="00CB29E4"/>
    <w:rsid w:val="00CB5BF2"/>
    <w:rsid w:val="00CC15A4"/>
    <w:rsid w:val="00CC28A9"/>
    <w:rsid w:val="00CC6580"/>
    <w:rsid w:val="00CC6FE0"/>
    <w:rsid w:val="00CE0386"/>
    <w:rsid w:val="00CE2E05"/>
    <w:rsid w:val="00CF0031"/>
    <w:rsid w:val="00CF0C99"/>
    <w:rsid w:val="00CF4680"/>
    <w:rsid w:val="00CF46D3"/>
    <w:rsid w:val="00CF61F2"/>
    <w:rsid w:val="00D0057D"/>
    <w:rsid w:val="00D03479"/>
    <w:rsid w:val="00D076FD"/>
    <w:rsid w:val="00D1118A"/>
    <w:rsid w:val="00D12CB8"/>
    <w:rsid w:val="00D16CE2"/>
    <w:rsid w:val="00D21245"/>
    <w:rsid w:val="00D21C9F"/>
    <w:rsid w:val="00D22BEB"/>
    <w:rsid w:val="00D26BF2"/>
    <w:rsid w:val="00D33C1E"/>
    <w:rsid w:val="00D37444"/>
    <w:rsid w:val="00D37A5A"/>
    <w:rsid w:val="00D402C2"/>
    <w:rsid w:val="00D45EB6"/>
    <w:rsid w:val="00D4766C"/>
    <w:rsid w:val="00D520E4"/>
    <w:rsid w:val="00D54860"/>
    <w:rsid w:val="00D54AA0"/>
    <w:rsid w:val="00D54F08"/>
    <w:rsid w:val="00D55B87"/>
    <w:rsid w:val="00D567FB"/>
    <w:rsid w:val="00D57DFA"/>
    <w:rsid w:val="00D6215E"/>
    <w:rsid w:val="00D70DBC"/>
    <w:rsid w:val="00D7306B"/>
    <w:rsid w:val="00D73201"/>
    <w:rsid w:val="00D73647"/>
    <w:rsid w:val="00D73ACE"/>
    <w:rsid w:val="00D73F92"/>
    <w:rsid w:val="00D81549"/>
    <w:rsid w:val="00D8307F"/>
    <w:rsid w:val="00D8465F"/>
    <w:rsid w:val="00D85B5D"/>
    <w:rsid w:val="00D90F93"/>
    <w:rsid w:val="00D91F54"/>
    <w:rsid w:val="00D93835"/>
    <w:rsid w:val="00D93AE3"/>
    <w:rsid w:val="00D9442D"/>
    <w:rsid w:val="00D94F8B"/>
    <w:rsid w:val="00D95235"/>
    <w:rsid w:val="00D9763F"/>
    <w:rsid w:val="00D97CBE"/>
    <w:rsid w:val="00DA345F"/>
    <w:rsid w:val="00DA66C3"/>
    <w:rsid w:val="00DB1AE1"/>
    <w:rsid w:val="00DB31FB"/>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7041"/>
    <w:rsid w:val="00E21128"/>
    <w:rsid w:val="00E21AB4"/>
    <w:rsid w:val="00E224FC"/>
    <w:rsid w:val="00E26570"/>
    <w:rsid w:val="00E31F57"/>
    <w:rsid w:val="00E32C2E"/>
    <w:rsid w:val="00E336C5"/>
    <w:rsid w:val="00E34794"/>
    <w:rsid w:val="00E41279"/>
    <w:rsid w:val="00E502C4"/>
    <w:rsid w:val="00E55ABC"/>
    <w:rsid w:val="00E56168"/>
    <w:rsid w:val="00E57B74"/>
    <w:rsid w:val="00E57FEF"/>
    <w:rsid w:val="00E62028"/>
    <w:rsid w:val="00E642B3"/>
    <w:rsid w:val="00E70922"/>
    <w:rsid w:val="00E857FB"/>
    <w:rsid w:val="00E8629F"/>
    <w:rsid w:val="00E9022E"/>
    <w:rsid w:val="00E90B54"/>
    <w:rsid w:val="00E9329D"/>
    <w:rsid w:val="00E93FE0"/>
    <w:rsid w:val="00E96BC6"/>
    <w:rsid w:val="00E97AA9"/>
    <w:rsid w:val="00EA09B1"/>
    <w:rsid w:val="00EA0B7F"/>
    <w:rsid w:val="00EA3C24"/>
    <w:rsid w:val="00EA3D76"/>
    <w:rsid w:val="00EB0292"/>
    <w:rsid w:val="00EB7AD9"/>
    <w:rsid w:val="00EC0715"/>
    <w:rsid w:val="00EC6A1C"/>
    <w:rsid w:val="00EC6BAF"/>
    <w:rsid w:val="00ED5F47"/>
    <w:rsid w:val="00ED7922"/>
    <w:rsid w:val="00EE01EA"/>
    <w:rsid w:val="00EE05AE"/>
    <w:rsid w:val="00EE066A"/>
    <w:rsid w:val="00EE2605"/>
    <w:rsid w:val="00EE3A95"/>
    <w:rsid w:val="00EE5692"/>
    <w:rsid w:val="00EE6221"/>
    <w:rsid w:val="00EE7690"/>
    <w:rsid w:val="00EF011F"/>
    <w:rsid w:val="00EF325F"/>
    <w:rsid w:val="00EF32A7"/>
    <w:rsid w:val="00EF4DD6"/>
    <w:rsid w:val="00EF5D8B"/>
    <w:rsid w:val="00EF6BCD"/>
    <w:rsid w:val="00F01416"/>
    <w:rsid w:val="00F030CA"/>
    <w:rsid w:val="00F0437F"/>
    <w:rsid w:val="00F0557F"/>
    <w:rsid w:val="00F05DFF"/>
    <w:rsid w:val="00F072D8"/>
    <w:rsid w:val="00F10B79"/>
    <w:rsid w:val="00F12D23"/>
    <w:rsid w:val="00F15074"/>
    <w:rsid w:val="00F15855"/>
    <w:rsid w:val="00F1709D"/>
    <w:rsid w:val="00F1745D"/>
    <w:rsid w:val="00F23325"/>
    <w:rsid w:val="00F26554"/>
    <w:rsid w:val="00F30653"/>
    <w:rsid w:val="00F3413D"/>
    <w:rsid w:val="00F34E2D"/>
    <w:rsid w:val="00F37710"/>
    <w:rsid w:val="00F63B69"/>
    <w:rsid w:val="00F7184A"/>
    <w:rsid w:val="00F77EB0"/>
    <w:rsid w:val="00F81AC1"/>
    <w:rsid w:val="00F83415"/>
    <w:rsid w:val="00F8409B"/>
    <w:rsid w:val="00F870F4"/>
    <w:rsid w:val="00F91F8F"/>
    <w:rsid w:val="00FA0215"/>
    <w:rsid w:val="00FA04B9"/>
    <w:rsid w:val="00FA1ACD"/>
    <w:rsid w:val="00FA35B4"/>
    <w:rsid w:val="00FB2CFC"/>
    <w:rsid w:val="00FB43EF"/>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D5657"/>
  <w15:chartTrackingRefBased/>
  <w15:docId w15:val="{5088D101-885E-42D3-99E8-8F8A221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customStyle="1" w:styleId="Reference">
    <w:name w:val="Reference"/>
    <w:basedOn w:val="Normal"/>
    <w:rsid w:val="00564B22"/>
    <w:pPr>
      <w:numPr>
        <w:numId w:val="39"/>
      </w:numPr>
      <w:spacing w:before="120" w:after="0" w:line="280" w:lineRule="atLeast"/>
      <w:jc w:val="both"/>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78f5c59-aec9-459c-acf8-8cf941473193"/>
    <ds:schemaRef ds:uri="bdd78157-346c-4767-bfdd-352789a5c5f1"/>
    <ds:schemaRef ds:uri="http://www.w3.org/XML/1998/namespace"/>
    <ds:schemaRef ds:uri="http://purl.org/dc/dcmitype/"/>
  </ds:schemaRefs>
</ds:datastoreItem>
</file>

<file path=customXml/itemProps2.xml><?xml version="1.0" encoding="utf-8"?>
<ds:datastoreItem xmlns:ds="http://schemas.openxmlformats.org/officeDocument/2006/customXml" ds:itemID="{5EDA0EA3-084B-4E89-A837-AEFCE802D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83B1532B-2CEC-4425-A8F3-84DAEF12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1600</Words>
  <Characters>8898</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(KS)</dc:creator>
  <cp:keywords/>
  <dc:description/>
  <cp:lastModifiedBy>Thorsten Hertel (KS)</cp:lastModifiedBy>
  <cp:revision>2</cp:revision>
  <dcterms:created xsi:type="dcterms:W3CDTF">2019-08-16T21:47:00Z</dcterms:created>
  <dcterms:modified xsi:type="dcterms:W3CDTF">2019-08-16T21:47:00Z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